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8724" w14:textId="77777777"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14:paraId="65283E25" w14:textId="77777777" w:rsidTr="00254345">
        <w:tc>
          <w:tcPr>
            <w:tcW w:w="2438" w:type="dxa"/>
            <w:shd w:val="clear" w:color="auto" w:fill="auto"/>
          </w:tcPr>
          <w:p w14:paraId="49B43FCD" w14:textId="77777777" w:rsidR="00A1335E" w:rsidRPr="00975B07" w:rsidRDefault="00A1335E" w:rsidP="00254345">
            <w:pPr>
              <w:rPr>
                <w:rStyle w:val="Firstpagetablebold"/>
              </w:rPr>
            </w:pPr>
            <w:r w:rsidRPr="00975B07">
              <w:rPr>
                <w:rStyle w:val="Firstpagetablebold"/>
              </w:rPr>
              <w:t>To:</w:t>
            </w:r>
          </w:p>
        </w:tc>
        <w:tc>
          <w:tcPr>
            <w:tcW w:w="6406" w:type="dxa"/>
            <w:shd w:val="clear" w:color="auto" w:fill="auto"/>
          </w:tcPr>
          <w:p w14:paraId="23007F81" w14:textId="77777777"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14:paraId="3A59AF32" w14:textId="77777777" w:rsidTr="00254345">
        <w:tc>
          <w:tcPr>
            <w:tcW w:w="2438" w:type="dxa"/>
            <w:shd w:val="clear" w:color="auto" w:fill="auto"/>
          </w:tcPr>
          <w:p w14:paraId="53E4F9D1" w14:textId="77777777" w:rsidR="00A1335E" w:rsidRPr="00975B07" w:rsidRDefault="00A1335E" w:rsidP="00254345">
            <w:pPr>
              <w:rPr>
                <w:rStyle w:val="Firstpagetablebold"/>
              </w:rPr>
            </w:pPr>
            <w:r w:rsidRPr="00975B07">
              <w:rPr>
                <w:rStyle w:val="Firstpagetablebold"/>
              </w:rPr>
              <w:t>Date:</w:t>
            </w:r>
          </w:p>
        </w:tc>
        <w:tc>
          <w:tcPr>
            <w:tcW w:w="6406" w:type="dxa"/>
            <w:shd w:val="clear" w:color="auto" w:fill="auto"/>
          </w:tcPr>
          <w:p w14:paraId="1250A1BE" w14:textId="77777777" w:rsidR="00A1335E" w:rsidRPr="001356F1" w:rsidRDefault="00A71583" w:rsidP="00EB6BA9">
            <w:pPr>
              <w:rPr>
                <w:b/>
              </w:rPr>
            </w:pPr>
            <w:r>
              <w:rPr>
                <w:rStyle w:val="Firstpagetablebold"/>
              </w:rPr>
              <w:t>9</w:t>
            </w:r>
            <w:r w:rsidR="00A1335E">
              <w:rPr>
                <w:rStyle w:val="Firstpagetablebold"/>
              </w:rPr>
              <w:t xml:space="preserve"> </w:t>
            </w:r>
            <w:r w:rsidR="00267EF3">
              <w:rPr>
                <w:rStyle w:val="Firstpagetablebold"/>
              </w:rPr>
              <w:t xml:space="preserve">December </w:t>
            </w:r>
            <w:r w:rsidR="00EB6BA9">
              <w:rPr>
                <w:rStyle w:val="Firstpagetablebold"/>
              </w:rPr>
              <w:t>2020</w:t>
            </w:r>
          </w:p>
        </w:tc>
      </w:tr>
      <w:tr w:rsidR="00A1335E" w:rsidRPr="00975B07" w14:paraId="35815A83" w14:textId="77777777" w:rsidTr="00254345">
        <w:tc>
          <w:tcPr>
            <w:tcW w:w="2438" w:type="dxa"/>
            <w:shd w:val="clear" w:color="auto" w:fill="auto"/>
          </w:tcPr>
          <w:p w14:paraId="1DA2DB58" w14:textId="77777777"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14:paraId="0BC59211" w14:textId="77777777" w:rsidR="00A1335E" w:rsidRPr="001356F1" w:rsidRDefault="00641F73" w:rsidP="00641F73">
            <w:pPr>
              <w:rPr>
                <w:rStyle w:val="Firstpagetablebold"/>
              </w:rPr>
            </w:pPr>
            <w:r>
              <w:rPr>
                <w:rFonts w:cs="Arial"/>
                <w:b/>
                <w:bCs/>
              </w:rPr>
              <w:t>Head of Planning Services</w:t>
            </w:r>
          </w:p>
        </w:tc>
      </w:tr>
      <w:tr w:rsidR="00A1335E" w:rsidRPr="00975B07" w14:paraId="51F5A17C" w14:textId="77777777" w:rsidTr="00254345">
        <w:tc>
          <w:tcPr>
            <w:tcW w:w="2438" w:type="dxa"/>
            <w:shd w:val="clear" w:color="auto" w:fill="auto"/>
          </w:tcPr>
          <w:p w14:paraId="3E7A203E" w14:textId="77777777"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14:paraId="6E33BD64" w14:textId="5AF5CDB8" w:rsidR="00A1335E" w:rsidRPr="00707449" w:rsidRDefault="00A1335E" w:rsidP="00EB6BA9">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Pr>
                <w:rFonts w:cs="Arial"/>
                <w:b/>
                <w:bCs/>
                <w:color w:val="auto"/>
                <w:lang w:eastAsia="en-US"/>
              </w:rPr>
              <w:t>Report</w:t>
            </w:r>
            <w:r w:rsidR="0083570B">
              <w:rPr>
                <w:rFonts w:cs="Arial"/>
                <w:b/>
                <w:bCs/>
                <w:color w:val="auto"/>
                <w:lang w:eastAsia="en-US"/>
              </w:rPr>
              <w:t xml:space="preserve"> and Infrastructure Funding Statement</w:t>
            </w:r>
            <w:r>
              <w:rPr>
                <w:rFonts w:cs="Arial"/>
                <w:b/>
                <w:bCs/>
                <w:color w:val="auto"/>
                <w:lang w:eastAsia="en-US"/>
              </w:rPr>
              <w:t xml:space="preserve"> 201</w:t>
            </w:r>
            <w:r w:rsidR="00EB6BA9">
              <w:rPr>
                <w:rFonts w:cs="Arial"/>
                <w:b/>
                <w:bCs/>
                <w:color w:val="auto"/>
                <w:lang w:eastAsia="en-US"/>
              </w:rPr>
              <w:t>9</w:t>
            </w:r>
            <w:r>
              <w:rPr>
                <w:rFonts w:cs="Arial"/>
                <w:b/>
                <w:bCs/>
                <w:color w:val="auto"/>
                <w:lang w:eastAsia="en-US"/>
              </w:rPr>
              <w:t>/</w:t>
            </w:r>
            <w:r w:rsidR="00EB6BA9">
              <w:rPr>
                <w:rFonts w:cs="Arial"/>
                <w:b/>
                <w:bCs/>
                <w:color w:val="auto"/>
                <w:lang w:eastAsia="en-US"/>
              </w:rPr>
              <w:t>20</w:t>
            </w:r>
          </w:p>
        </w:tc>
      </w:tr>
    </w:tbl>
    <w:p w14:paraId="5740EB23" w14:textId="77777777"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14:paraId="64913632" w14:textId="77777777" w:rsidTr="00254345">
        <w:tc>
          <w:tcPr>
            <w:tcW w:w="8845" w:type="dxa"/>
            <w:gridSpan w:val="3"/>
            <w:tcBorders>
              <w:bottom w:val="single" w:sz="8" w:space="0" w:color="000000"/>
            </w:tcBorders>
            <w:hideMark/>
          </w:tcPr>
          <w:p w14:paraId="7089766D" w14:textId="77777777" w:rsidR="00A1335E" w:rsidRDefault="00A1335E" w:rsidP="00254345">
            <w:pPr>
              <w:jc w:val="center"/>
              <w:rPr>
                <w:rStyle w:val="Firstpagetablebold"/>
              </w:rPr>
            </w:pPr>
            <w:r>
              <w:rPr>
                <w:rStyle w:val="Firstpagetablebold"/>
              </w:rPr>
              <w:t>Summary and recommendations</w:t>
            </w:r>
          </w:p>
        </w:tc>
      </w:tr>
      <w:tr w:rsidR="00A1335E" w14:paraId="6342D6FB" w14:textId="77777777" w:rsidTr="00254345">
        <w:tc>
          <w:tcPr>
            <w:tcW w:w="2438" w:type="dxa"/>
            <w:gridSpan w:val="2"/>
            <w:tcBorders>
              <w:top w:val="single" w:sz="8" w:space="0" w:color="000000"/>
              <w:left w:val="single" w:sz="8" w:space="0" w:color="000000"/>
              <w:bottom w:val="nil"/>
              <w:right w:val="nil"/>
            </w:tcBorders>
            <w:hideMark/>
          </w:tcPr>
          <w:p w14:paraId="31D90D15" w14:textId="77777777" w:rsidR="00A1335E" w:rsidRDefault="00A1335E" w:rsidP="00254345">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ED7AE33" w14:textId="639EAA99" w:rsidR="00A1335E" w:rsidRPr="001356F1" w:rsidRDefault="00A1335E" w:rsidP="00254345">
            <w:r w:rsidRPr="00707449">
              <w:t>To approve the Annual Monitoring Report</w:t>
            </w:r>
            <w:r w:rsidR="0083570B">
              <w:t xml:space="preserve"> and Infrastructure Funding Statement</w:t>
            </w:r>
            <w:r w:rsidRPr="00707449">
              <w:t xml:space="preserve"> for publication.</w:t>
            </w:r>
          </w:p>
        </w:tc>
      </w:tr>
      <w:tr w:rsidR="00A1335E" w14:paraId="56DD5901" w14:textId="77777777" w:rsidTr="00254345">
        <w:tc>
          <w:tcPr>
            <w:tcW w:w="2438" w:type="dxa"/>
            <w:gridSpan w:val="2"/>
            <w:tcBorders>
              <w:top w:val="nil"/>
              <w:left w:val="single" w:sz="8" w:space="0" w:color="000000"/>
              <w:bottom w:val="nil"/>
              <w:right w:val="nil"/>
            </w:tcBorders>
            <w:hideMark/>
          </w:tcPr>
          <w:p w14:paraId="163E5026" w14:textId="77777777"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F958A08" w14:textId="77777777" w:rsidR="00A1335E" w:rsidRPr="001356F1" w:rsidRDefault="00A1335E" w:rsidP="00254345">
            <w:r>
              <w:t>No</w:t>
            </w:r>
          </w:p>
        </w:tc>
      </w:tr>
      <w:tr w:rsidR="00A1335E" w14:paraId="02D87996" w14:textId="77777777" w:rsidTr="00254345">
        <w:tc>
          <w:tcPr>
            <w:tcW w:w="2438" w:type="dxa"/>
            <w:gridSpan w:val="2"/>
            <w:tcBorders>
              <w:top w:val="nil"/>
              <w:left w:val="single" w:sz="8" w:space="0" w:color="000000"/>
              <w:bottom w:val="nil"/>
              <w:right w:val="nil"/>
            </w:tcBorders>
            <w:hideMark/>
          </w:tcPr>
          <w:p w14:paraId="04AC5E33" w14:textId="77777777" w:rsidR="00A1335E" w:rsidRDefault="00A1335E" w:rsidP="00254345">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63A66E0B" w14:textId="15BB53B7" w:rsidR="00A1335E" w:rsidRPr="001356F1" w:rsidRDefault="00A1335E" w:rsidP="0022577E">
            <w:r w:rsidRPr="0022577E">
              <w:t xml:space="preserve">Councillor </w:t>
            </w:r>
            <w:r w:rsidRPr="0022577E">
              <w:rPr>
                <w:rFonts w:cs="Arial"/>
                <w:bCs/>
              </w:rPr>
              <w:t>Alex Hollingsworth</w:t>
            </w:r>
            <w:r w:rsidRPr="0022577E">
              <w:t>, Planning and</w:t>
            </w:r>
            <w:r w:rsidR="0022577E" w:rsidRPr="0022577E">
              <w:t xml:space="preserve"> Housing Delivery</w:t>
            </w:r>
          </w:p>
        </w:tc>
      </w:tr>
      <w:tr w:rsidR="00A1335E" w14:paraId="6D71EAD4" w14:textId="77777777" w:rsidTr="00254345">
        <w:tc>
          <w:tcPr>
            <w:tcW w:w="2438" w:type="dxa"/>
            <w:gridSpan w:val="2"/>
            <w:tcBorders>
              <w:top w:val="nil"/>
              <w:left w:val="single" w:sz="8" w:space="0" w:color="000000"/>
              <w:bottom w:val="nil"/>
              <w:right w:val="nil"/>
            </w:tcBorders>
          </w:tcPr>
          <w:p w14:paraId="45BD1DF3" w14:textId="77777777"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332BE70" w14:textId="77777777" w:rsidR="00A1335E" w:rsidRDefault="00A1335E" w:rsidP="00254345">
            <w:pPr>
              <w:spacing w:after="0"/>
              <w:contextualSpacing/>
            </w:pPr>
            <w:r>
              <w:t>A Vibrant and Sustainable Economy</w:t>
            </w:r>
          </w:p>
          <w:p w14:paraId="4CC079EC" w14:textId="77777777" w:rsidR="00A1335E" w:rsidRDefault="00A1335E" w:rsidP="00254345">
            <w:pPr>
              <w:spacing w:after="0"/>
              <w:contextualSpacing/>
            </w:pPr>
            <w:r>
              <w:t>Meeting Housing Needs</w:t>
            </w:r>
          </w:p>
          <w:p w14:paraId="0F122529" w14:textId="77777777" w:rsidR="00A1335E" w:rsidRDefault="00A1335E" w:rsidP="00254345">
            <w:pPr>
              <w:spacing w:after="0"/>
              <w:contextualSpacing/>
            </w:pPr>
            <w:r>
              <w:t>Strong and Active Communities</w:t>
            </w:r>
          </w:p>
          <w:p w14:paraId="462858E1" w14:textId="77777777" w:rsidR="00A1335E" w:rsidRDefault="00A1335E" w:rsidP="00254345">
            <w:pPr>
              <w:spacing w:after="0"/>
              <w:contextualSpacing/>
            </w:pPr>
            <w:r>
              <w:t>A Clean and Green Oxford</w:t>
            </w:r>
          </w:p>
          <w:p w14:paraId="14E6986B" w14:textId="77777777" w:rsidR="00A1335E" w:rsidRPr="001356F1" w:rsidRDefault="00A1335E" w:rsidP="00254345">
            <w:r>
              <w:t xml:space="preserve">An Efficient and Effective Council </w:t>
            </w:r>
          </w:p>
        </w:tc>
      </w:tr>
      <w:tr w:rsidR="00A1335E" w14:paraId="6ECE9F75" w14:textId="77777777" w:rsidTr="00254345">
        <w:tc>
          <w:tcPr>
            <w:tcW w:w="2438" w:type="dxa"/>
            <w:gridSpan w:val="2"/>
            <w:tcBorders>
              <w:top w:val="nil"/>
              <w:left w:val="single" w:sz="8" w:space="0" w:color="000000"/>
              <w:bottom w:val="nil"/>
              <w:right w:val="nil"/>
            </w:tcBorders>
            <w:hideMark/>
          </w:tcPr>
          <w:p w14:paraId="464ABC6E" w14:textId="77777777"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C2B93B7" w14:textId="5FB48117" w:rsidR="0083570B" w:rsidRPr="001356F1" w:rsidRDefault="009306FA" w:rsidP="009306FA">
            <w:r>
              <w:t>Council Strategy 2021/22</w:t>
            </w:r>
          </w:p>
        </w:tc>
      </w:tr>
      <w:tr w:rsidR="00A1335E" w:rsidRPr="00975B07" w14:paraId="255BA690" w14:textId="77777777" w:rsidTr="00254345">
        <w:trPr>
          <w:trHeight w:val="413"/>
        </w:trPr>
        <w:tc>
          <w:tcPr>
            <w:tcW w:w="8845" w:type="dxa"/>
            <w:gridSpan w:val="3"/>
            <w:tcBorders>
              <w:bottom w:val="single" w:sz="8" w:space="0" w:color="000000"/>
            </w:tcBorders>
          </w:tcPr>
          <w:p w14:paraId="07C82C64" w14:textId="55A59CD1" w:rsidR="00A1335E" w:rsidRPr="00975B07" w:rsidRDefault="009306FA" w:rsidP="002939A9">
            <w:proofErr w:type="spellStart"/>
            <w:r>
              <w:rPr>
                <w:rStyle w:val="Firstpagetablebold"/>
              </w:rPr>
              <w:t>Recommendations:</w:t>
            </w:r>
            <w:r w:rsidRPr="009306FA">
              <w:rPr>
                <w:rStyle w:val="Firstpagetablebold"/>
                <w:b w:val="0"/>
              </w:rPr>
              <w:t>That</w:t>
            </w:r>
            <w:proofErr w:type="spellEnd"/>
            <w:r w:rsidRPr="009306FA">
              <w:rPr>
                <w:rStyle w:val="Firstpagetablebold"/>
                <w:b w:val="0"/>
              </w:rPr>
              <w:t xml:space="preserve"> </w:t>
            </w:r>
            <w:r w:rsidR="00A1335E" w:rsidRPr="009306FA">
              <w:rPr>
                <w:rStyle w:val="Firstpagetablebold"/>
                <w:b w:val="0"/>
              </w:rPr>
              <w:t xml:space="preserve"> C</w:t>
            </w:r>
            <w:r w:rsidR="002939A9" w:rsidRPr="009306FA">
              <w:rPr>
                <w:rStyle w:val="Firstpagetablebold"/>
                <w:b w:val="0"/>
              </w:rPr>
              <w:t xml:space="preserve">abinet </w:t>
            </w:r>
            <w:r w:rsidR="00A1335E" w:rsidRPr="009306FA">
              <w:rPr>
                <w:rStyle w:val="Firstpagetablebold"/>
                <w:b w:val="0"/>
              </w:rPr>
              <w:t>resolves to:</w:t>
            </w:r>
          </w:p>
        </w:tc>
      </w:tr>
      <w:tr w:rsidR="00A1335E" w:rsidRPr="00975B07" w14:paraId="0B1C986F" w14:textId="77777777" w:rsidTr="00254345">
        <w:trPr>
          <w:trHeight w:val="283"/>
        </w:trPr>
        <w:tc>
          <w:tcPr>
            <w:tcW w:w="426" w:type="dxa"/>
            <w:tcBorders>
              <w:top w:val="single" w:sz="8" w:space="0" w:color="000000"/>
              <w:left w:val="single" w:sz="8" w:space="0" w:color="000000"/>
              <w:bottom w:val="nil"/>
              <w:right w:val="nil"/>
            </w:tcBorders>
          </w:tcPr>
          <w:p w14:paraId="4811988F" w14:textId="77777777" w:rsidR="00A1335E" w:rsidRPr="00975B07" w:rsidRDefault="00A1335E" w:rsidP="00254345">
            <w:bookmarkStart w:id="0" w:name="_GoBack" w:colFirst="0"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66169345" w14:textId="4EBB7905" w:rsidR="00A1335E" w:rsidRPr="001356F1" w:rsidRDefault="00A1335E" w:rsidP="00EB6BA9">
            <w:r w:rsidRPr="00707449">
              <w:rPr>
                <w:rStyle w:val="Firstpagetablebold"/>
              </w:rPr>
              <w:t>Approve</w:t>
            </w:r>
            <w:r w:rsidRPr="00707449">
              <w:rPr>
                <w:rStyle w:val="Firstpagetablebold"/>
                <w:b w:val="0"/>
              </w:rPr>
              <w:t xml:space="preserve"> t</w:t>
            </w:r>
            <w:r>
              <w:rPr>
                <w:rStyle w:val="Firstpagetablebold"/>
                <w:b w:val="0"/>
              </w:rPr>
              <w:t>he Annual Monitoring Report</w:t>
            </w:r>
            <w:r w:rsidR="0083570B">
              <w:rPr>
                <w:rStyle w:val="Firstpagetablebold"/>
                <w:b w:val="0"/>
              </w:rPr>
              <w:t xml:space="preserve"> and Infrastructure Funding Statement</w:t>
            </w:r>
            <w:r>
              <w:rPr>
                <w:rStyle w:val="Firstpagetablebold"/>
                <w:b w:val="0"/>
              </w:rPr>
              <w:t xml:space="preserve"> 201</w:t>
            </w:r>
            <w:r w:rsidR="00EB6BA9">
              <w:rPr>
                <w:rStyle w:val="Firstpagetablebold"/>
                <w:b w:val="0"/>
              </w:rPr>
              <w:t>9</w:t>
            </w:r>
            <w:r>
              <w:rPr>
                <w:rStyle w:val="Firstpagetablebold"/>
                <w:b w:val="0"/>
              </w:rPr>
              <w:t>/</w:t>
            </w:r>
            <w:r w:rsidR="00EB6BA9">
              <w:rPr>
                <w:rStyle w:val="Firstpagetablebold"/>
                <w:b w:val="0"/>
              </w:rPr>
              <w:t>20</w:t>
            </w:r>
            <w:r w:rsidRPr="00707449">
              <w:rPr>
                <w:rStyle w:val="Firstpagetablebold"/>
                <w:b w:val="0"/>
              </w:rPr>
              <w:t xml:space="preserve"> for publication.</w:t>
            </w:r>
          </w:p>
        </w:tc>
      </w:tr>
      <w:tr w:rsidR="00A1335E" w:rsidRPr="00975B07" w14:paraId="0FB7A48E" w14:textId="77777777" w:rsidTr="00254345">
        <w:trPr>
          <w:trHeight w:val="283"/>
        </w:trPr>
        <w:tc>
          <w:tcPr>
            <w:tcW w:w="426" w:type="dxa"/>
            <w:tcBorders>
              <w:top w:val="nil"/>
              <w:left w:val="single" w:sz="8" w:space="0" w:color="000000"/>
              <w:bottom w:val="single" w:sz="8" w:space="0" w:color="000000"/>
              <w:right w:val="nil"/>
            </w:tcBorders>
          </w:tcPr>
          <w:p w14:paraId="6310900C" w14:textId="77777777" w:rsidR="00A1335E" w:rsidRPr="00975B07" w:rsidRDefault="00A1335E" w:rsidP="00254345">
            <w:r w:rsidRPr="00975B07">
              <w:t>2.</w:t>
            </w:r>
          </w:p>
        </w:tc>
        <w:tc>
          <w:tcPr>
            <w:tcW w:w="8419" w:type="dxa"/>
            <w:gridSpan w:val="2"/>
            <w:tcBorders>
              <w:top w:val="nil"/>
              <w:left w:val="nil"/>
              <w:bottom w:val="single" w:sz="8" w:space="0" w:color="000000"/>
              <w:right w:val="single" w:sz="8" w:space="0" w:color="000000"/>
            </w:tcBorders>
            <w:shd w:val="clear" w:color="auto" w:fill="auto"/>
          </w:tcPr>
          <w:p w14:paraId="0D72FF45" w14:textId="78515C25" w:rsidR="00A1335E" w:rsidRPr="001356F1" w:rsidRDefault="00A1335E" w:rsidP="00F021AE">
            <w:r w:rsidRPr="00707449">
              <w:rPr>
                <w:rStyle w:val="Firstpagetablebold"/>
              </w:rPr>
              <w:t>Authorise</w:t>
            </w:r>
            <w:r w:rsidRPr="00707449">
              <w:rPr>
                <w:rStyle w:val="Firstpagetablebold"/>
                <w:b w:val="0"/>
              </w:rPr>
              <w:t xml:space="preserve"> </w:t>
            </w:r>
            <w:r w:rsidR="00263309">
              <w:rPr>
                <w:rStyle w:val="Firstpagetablebold"/>
                <w:b w:val="0"/>
              </w:rPr>
              <w:t xml:space="preserve">the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minor corrections not materially affecting the document prior to publication.</w:t>
            </w:r>
          </w:p>
        </w:tc>
      </w:tr>
      <w:bookmarkEnd w:id="0"/>
    </w:tbl>
    <w:p w14:paraId="13308EB1" w14:textId="77777777"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14:paraId="26239EFC" w14:textId="7777777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8DECB21" w14:textId="77777777" w:rsidR="00A1335E" w:rsidRPr="00975B07" w:rsidRDefault="00A1335E" w:rsidP="00254345">
            <w:pPr>
              <w:jc w:val="center"/>
            </w:pPr>
            <w:r w:rsidRPr="00745BF0">
              <w:rPr>
                <w:rStyle w:val="Firstpagetablebold"/>
              </w:rPr>
              <w:t>Appendices</w:t>
            </w:r>
          </w:p>
        </w:tc>
      </w:tr>
      <w:tr w:rsidR="00A1335E" w:rsidRPr="00975B07" w14:paraId="2D40D849" w14:textId="77777777" w:rsidTr="00254345">
        <w:tc>
          <w:tcPr>
            <w:tcW w:w="2438" w:type="dxa"/>
            <w:tcBorders>
              <w:top w:val="single" w:sz="8" w:space="0" w:color="000000"/>
              <w:left w:val="single" w:sz="8" w:space="0" w:color="000000"/>
              <w:bottom w:val="nil"/>
              <w:right w:val="nil"/>
            </w:tcBorders>
            <w:shd w:val="clear" w:color="auto" w:fill="auto"/>
          </w:tcPr>
          <w:p w14:paraId="3F96F5E6" w14:textId="77777777"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14:paraId="1D6455EB" w14:textId="77777777" w:rsidR="00A1335E" w:rsidRPr="001356F1" w:rsidRDefault="00A1335E" w:rsidP="00EB6BA9">
            <w:r>
              <w:rPr>
                <w:rFonts w:cs="Arial"/>
              </w:rPr>
              <w:t>Annual Monitoring Report 201</w:t>
            </w:r>
            <w:r w:rsidR="00EB6BA9">
              <w:rPr>
                <w:rFonts w:cs="Arial"/>
              </w:rPr>
              <w:t>9</w:t>
            </w:r>
            <w:r>
              <w:rPr>
                <w:rFonts w:cs="Arial"/>
              </w:rPr>
              <w:t>/</w:t>
            </w:r>
            <w:r w:rsidR="00EB6BA9">
              <w:rPr>
                <w:rFonts w:cs="Arial"/>
              </w:rPr>
              <w:t>20</w:t>
            </w:r>
          </w:p>
        </w:tc>
      </w:tr>
      <w:tr w:rsidR="00A1335E" w:rsidRPr="00975B07" w14:paraId="2B09C080" w14:textId="77777777" w:rsidTr="00254345">
        <w:tc>
          <w:tcPr>
            <w:tcW w:w="2438" w:type="dxa"/>
            <w:tcBorders>
              <w:top w:val="nil"/>
              <w:left w:val="single" w:sz="8" w:space="0" w:color="000000"/>
              <w:bottom w:val="single" w:sz="8" w:space="0" w:color="000000"/>
              <w:right w:val="nil"/>
            </w:tcBorders>
            <w:shd w:val="clear" w:color="auto" w:fill="auto"/>
          </w:tcPr>
          <w:p w14:paraId="2AA21099" w14:textId="77777777" w:rsidR="00A1335E" w:rsidRDefault="00A1335E" w:rsidP="00254345">
            <w:r w:rsidRPr="00975B07">
              <w:t>Appendix 2</w:t>
            </w:r>
          </w:p>
          <w:p w14:paraId="2BB6400A" w14:textId="2540F88B" w:rsidR="0083570B" w:rsidRPr="00975B07" w:rsidRDefault="0083570B" w:rsidP="00254345">
            <w:r>
              <w:t>Appendix 3</w:t>
            </w:r>
          </w:p>
        </w:tc>
        <w:tc>
          <w:tcPr>
            <w:tcW w:w="6406" w:type="dxa"/>
            <w:tcBorders>
              <w:top w:val="nil"/>
              <w:left w:val="nil"/>
              <w:bottom w:val="single" w:sz="8" w:space="0" w:color="000000"/>
              <w:right w:val="single" w:sz="8" w:space="0" w:color="000000"/>
            </w:tcBorders>
          </w:tcPr>
          <w:p w14:paraId="53B170ED" w14:textId="48274A5B" w:rsidR="0083570B" w:rsidRDefault="0083570B" w:rsidP="00254345">
            <w:pPr>
              <w:rPr>
                <w:rFonts w:cs="Arial"/>
              </w:rPr>
            </w:pPr>
            <w:r>
              <w:rPr>
                <w:rFonts w:cs="Arial"/>
              </w:rPr>
              <w:t>Infrastructure Funding Statement 2019/20</w:t>
            </w:r>
          </w:p>
          <w:p w14:paraId="09C3791B" w14:textId="77777777" w:rsidR="00A1335E" w:rsidRPr="001356F1" w:rsidRDefault="00A1335E" w:rsidP="00254345">
            <w:r>
              <w:rPr>
                <w:rFonts w:cs="Arial"/>
              </w:rPr>
              <w:t>Risk Assessment</w:t>
            </w:r>
          </w:p>
        </w:tc>
      </w:tr>
    </w:tbl>
    <w:p w14:paraId="302AB11D" w14:textId="77777777" w:rsidR="00A1335E" w:rsidRDefault="00A1335E" w:rsidP="00A1335E">
      <w:pPr>
        <w:pStyle w:val="Heading1"/>
      </w:pPr>
    </w:p>
    <w:p w14:paraId="68D2FE84" w14:textId="77777777" w:rsidR="00A1335E" w:rsidRPr="001356F1" w:rsidRDefault="00A1335E" w:rsidP="00774D56">
      <w:pPr>
        <w:pStyle w:val="Heading1"/>
        <w:jc w:val="both"/>
      </w:pPr>
      <w:r w:rsidRPr="001356F1">
        <w:t xml:space="preserve">Introduction and background </w:t>
      </w:r>
    </w:p>
    <w:p w14:paraId="017AF236" w14:textId="008DE6FD" w:rsidR="00A1335E" w:rsidRDefault="00A1335E" w:rsidP="001D58B9">
      <w:pPr>
        <w:pStyle w:val="ListParagraph"/>
        <w:ind w:left="786"/>
      </w:pPr>
      <w:r>
        <w:t>The Annual Monitoring Report (AMR) 20</w:t>
      </w:r>
      <w:r w:rsidR="00263309">
        <w:t>1</w:t>
      </w:r>
      <w:r w:rsidR="00EB6BA9">
        <w:t>9</w:t>
      </w:r>
      <w:r w:rsidR="00263309">
        <w:t>/</w:t>
      </w:r>
      <w:r w:rsidR="00EB6BA9">
        <w:t>20</w:t>
      </w:r>
      <w:r>
        <w:t xml:space="preserve"> assesses the effectiveness of planning policies contained within </w:t>
      </w:r>
      <w:r w:rsidR="00357148">
        <w:t xml:space="preserve">the </w:t>
      </w:r>
      <w:r>
        <w:t>Oxford Local Plan</w:t>
      </w:r>
      <w:r w:rsidR="00DB4D63">
        <w:t xml:space="preserve"> 2001- 2016</w:t>
      </w:r>
      <w:r>
        <w:t xml:space="preserve"> as well as the implementation of the </w:t>
      </w:r>
      <w:r w:rsidR="00E31908">
        <w:t xml:space="preserve">Oxford </w:t>
      </w:r>
      <w:r>
        <w:t>Local Development Scheme</w:t>
      </w:r>
      <w:r w:rsidR="00E31908">
        <w:t xml:space="preserve"> 2019-2022</w:t>
      </w:r>
      <w:r>
        <w:t xml:space="preserve">, </w:t>
      </w:r>
      <w:r w:rsidR="00E31908">
        <w:t xml:space="preserve">the </w:t>
      </w:r>
      <w:r w:rsidR="00E31908">
        <w:lastRenderedPageBreak/>
        <w:t xml:space="preserve">Council’s </w:t>
      </w:r>
      <w:r>
        <w:t xml:space="preserve">Statement of Community Involvement </w:t>
      </w:r>
      <w:r w:rsidR="00E31908">
        <w:t xml:space="preserve">in Planning </w:t>
      </w:r>
      <w:r>
        <w:t>and the Duty to Cooperate. The AMR covers the period 1st April 201</w:t>
      </w:r>
      <w:r w:rsidR="00EB6BA9">
        <w:t>9</w:t>
      </w:r>
      <w:r>
        <w:t xml:space="preserve"> to 31st March 20</w:t>
      </w:r>
      <w:r w:rsidR="00EB6BA9">
        <w:t>20</w:t>
      </w:r>
      <w:r>
        <w:t xml:space="preserve"> and is a factual document. </w:t>
      </w:r>
    </w:p>
    <w:p w14:paraId="184994D5" w14:textId="3438C297" w:rsidR="00034C71" w:rsidRDefault="00034C71" w:rsidP="001D58B9">
      <w:pPr>
        <w:pStyle w:val="ListParagraph"/>
        <w:ind w:left="786"/>
      </w:pPr>
      <w:r>
        <w:t xml:space="preserve">This AMR </w:t>
      </w:r>
      <w:r w:rsidR="007816C0">
        <w:t>does not cover</w:t>
      </w:r>
      <w:r>
        <w:t xml:space="preserve"> policies </w:t>
      </w:r>
      <w:r w:rsidR="007816C0">
        <w:t xml:space="preserve">in </w:t>
      </w:r>
      <w:r>
        <w:t>the Oxford Local Plan 2036 adopted in June 2020.  This will be undertaken in the next monitoring year (</w:t>
      </w:r>
      <w:r w:rsidR="00DB4D63">
        <w:t xml:space="preserve">1 April </w:t>
      </w:r>
      <w:r>
        <w:t>2020</w:t>
      </w:r>
      <w:r w:rsidR="00DB4D63">
        <w:t xml:space="preserve"> – 31 March 2021</w:t>
      </w:r>
      <w:r>
        <w:t xml:space="preserve">). </w:t>
      </w:r>
    </w:p>
    <w:p w14:paraId="64AAB671" w14:textId="77777777" w:rsidR="00A1335E" w:rsidRDefault="00A1335E" w:rsidP="001D58B9">
      <w:pPr>
        <w:pStyle w:val="ListParagraph"/>
        <w:ind w:left="786"/>
      </w:pPr>
      <w:r>
        <w:t xml:space="preserve">Section 35 of the Planning and Compulsory Purchase Act 2004 requires local planning authorities to publish monitoring reports at least yearly in the interests of transparency. </w:t>
      </w:r>
    </w:p>
    <w:p w14:paraId="50C3FDA4" w14:textId="761E2EF1" w:rsidR="00697306" w:rsidRPr="00697306" w:rsidRDefault="00697306" w:rsidP="001D58B9">
      <w:pPr>
        <w:pStyle w:val="ListParagraph"/>
        <w:ind w:left="786"/>
      </w:pPr>
      <w:r>
        <w:t>The Infrastructure Funding Statement</w:t>
      </w:r>
      <w:r w:rsidR="00B454DC">
        <w:t xml:space="preserve"> (IFS)</w:t>
      </w:r>
      <w:r>
        <w:t xml:space="preserve"> is a new annual reporting requirement introduced as part of the C</w:t>
      </w:r>
      <w:r w:rsidR="007816C0">
        <w:t xml:space="preserve">ommunity Infrastructure </w:t>
      </w:r>
      <w:r>
        <w:t>L</w:t>
      </w:r>
      <w:r w:rsidR="007816C0">
        <w:t>evy</w:t>
      </w:r>
      <w:r>
        <w:t xml:space="preserve"> </w:t>
      </w:r>
      <w:r w:rsidR="007816C0">
        <w:t>(Amendment)</w:t>
      </w:r>
      <w:r w:rsidR="00077F67">
        <w:t xml:space="preserve"> </w:t>
      </w:r>
      <w:r w:rsidR="009360B1">
        <w:t xml:space="preserve">(England) </w:t>
      </w:r>
      <w:r w:rsidR="00077F67">
        <w:t>(No.2)</w:t>
      </w:r>
      <w:r w:rsidR="007816C0">
        <w:t xml:space="preserve"> R</w:t>
      </w:r>
      <w:r>
        <w:t>egulations</w:t>
      </w:r>
      <w:r w:rsidR="0079129D">
        <w:t xml:space="preserve"> in September</w:t>
      </w:r>
      <w:r>
        <w:t xml:space="preserve"> 2019 (</w:t>
      </w:r>
      <w:r w:rsidRPr="0079129D">
        <w:rPr>
          <w:rStyle w:val="Hyperlink"/>
          <w:color w:val="000000" w:themeColor="text1"/>
          <w:u w:val="none"/>
        </w:rPr>
        <w:t>CIL Regulations: Schedule 2</w:t>
      </w:r>
      <w:r>
        <w:t xml:space="preserve">), with the objective of increasing transparency around how developer contributions are spent on </w:t>
      </w:r>
      <w:r w:rsidR="007816C0">
        <w:t>i</w:t>
      </w:r>
      <w:r>
        <w:t xml:space="preserve">nfrastructure. As set out in Appendix 2, the contents of </w:t>
      </w:r>
      <w:r w:rsidR="00192DC6">
        <w:t>the IFS</w:t>
      </w:r>
      <w:r>
        <w:t xml:space="preserve"> are divided into three key sections for the previous financial year:</w:t>
      </w:r>
    </w:p>
    <w:p w14:paraId="63B9621C" w14:textId="7EFBD6AC" w:rsidR="00697306" w:rsidRPr="00496867" w:rsidRDefault="00697306" w:rsidP="00496867">
      <w:pPr>
        <w:pStyle w:val="ListParagraph"/>
        <w:numPr>
          <w:ilvl w:val="2"/>
          <w:numId w:val="44"/>
        </w:numPr>
        <w:tabs>
          <w:tab w:val="left" w:pos="720"/>
        </w:tabs>
        <w:rPr>
          <w:rFonts w:cs="Arial"/>
        </w:rPr>
      </w:pPr>
      <w:r w:rsidRPr="00496867">
        <w:rPr>
          <w:rFonts w:cs="Arial"/>
        </w:rPr>
        <w:t>Information on C</w:t>
      </w:r>
      <w:r w:rsidR="00192DC6">
        <w:rPr>
          <w:rFonts w:cs="Arial"/>
        </w:rPr>
        <w:t xml:space="preserve">ommunity </w:t>
      </w:r>
      <w:r w:rsidR="00192DC6" w:rsidRPr="00496867">
        <w:rPr>
          <w:rFonts w:cs="Arial"/>
        </w:rPr>
        <w:t>I</w:t>
      </w:r>
      <w:r w:rsidR="00192DC6">
        <w:rPr>
          <w:rFonts w:cs="Arial"/>
        </w:rPr>
        <w:t xml:space="preserve">nfrastructure </w:t>
      </w:r>
      <w:r w:rsidRPr="00496867">
        <w:rPr>
          <w:rFonts w:cs="Arial"/>
        </w:rPr>
        <w:t>L</w:t>
      </w:r>
      <w:r w:rsidR="00192DC6">
        <w:rPr>
          <w:rFonts w:cs="Arial"/>
        </w:rPr>
        <w:t>evy (CIL)</w:t>
      </w:r>
      <w:r w:rsidRPr="00496867">
        <w:rPr>
          <w:rFonts w:cs="Arial"/>
        </w:rPr>
        <w:t xml:space="preserve"> contributions; </w:t>
      </w:r>
    </w:p>
    <w:p w14:paraId="59F5C9FA" w14:textId="1E678D88" w:rsidR="00697306" w:rsidRPr="00496867" w:rsidRDefault="00697306" w:rsidP="00496867">
      <w:pPr>
        <w:pStyle w:val="ListParagraph"/>
        <w:numPr>
          <w:ilvl w:val="2"/>
          <w:numId w:val="44"/>
        </w:numPr>
        <w:tabs>
          <w:tab w:val="left" w:pos="720"/>
        </w:tabs>
        <w:rPr>
          <w:rFonts w:cs="Arial"/>
        </w:rPr>
      </w:pPr>
      <w:r w:rsidRPr="00496867">
        <w:rPr>
          <w:rFonts w:cs="Arial"/>
        </w:rPr>
        <w:t xml:space="preserve">Information on Section 106 </w:t>
      </w:r>
      <w:r w:rsidR="00192DC6">
        <w:rPr>
          <w:rFonts w:cs="Arial"/>
        </w:rPr>
        <w:t>c</w:t>
      </w:r>
      <w:r w:rsidRPr="00496867">
        <w:rPr>
          <w:rFonts w:cs="Arial"/>
        </w:rPr>
        <w:t>ontributions</w:t>
      </w:r>
      <w:r w:rsidR="00192DC6">
        <w:rPr>
          <w:rFonts w:cs="Arial"/>
        </w:rPr>
        <w:t xml:space="preserve"> (made under section 106 of the Town and Country Planning Act 1990)</w:t>
      </w:r>
      <w:r w:rsidRPr="00496867">
        <w:rPr>
          <w:rFonts w:cs="Arial"/>
        </w:rPr>
        <w:t xml:space="preserve">; </w:t>
      </w:r>
    </w:p>
    <w:p w14:paraId="455254AF" w14:textId="4E09B667" w:rsidR="00697306" w:rsidRPr="00496867" w:rsidRDefault="00697306" w:rsidP="00496867">
      <w:pPr>
        <w:pStyle w:val="ListParagraph"/>
        <w:numPr>
          <w:ilvl w:val="2"/>
          <w:numId w:val="44"/>
        </w:numPr>
        <w:tabs>
          <w:tab w:val="left" w:pos="720"/>
        </w:tabs>
        <w:rPr>
          <w:rFonts w:cs="Arial"/>
        </w:rPr>
      </w:pPr>
      <w:r w:rsidRPr="00496867">
        <w:rPr>
          <w:rFonts w:cs="Arial"/>
        </w:rPr>
        <w:t>Items of infrastructure that CIL is to be spent on in</w:t>
      </w:r>
      <w:r w:rsidR="00496867">
        <w:rPr>
          <w:rFonts w:cs="Arial"/>
        </w:rPr>
        <w:t xml:space="preserve"> the next five years (</w:t>
      </w:r>
      <w:r w:rsidR="001674B7">
        <w:rPr>
          <w:rFonts w:cs="Arial"/>
        </w:rPr>
        <w:t>CIL is allocated to</w:t>
      </w:r>
      <w:r w:rsidRPr="00496867">
        <w:rPr>
          <w:rFonts w:cs="Arial"/>
        </w:rPr>
        <w:t xml:space="preserve"> the Council’s Capital Programme</w:t>
      </w:r>
      <w:r w:rsidR="001674B7">
        <w:rPr>
          <w:rFonts w:cs="Arial"/>
        </w:rPr>
        <w:t xml:space="preserve"> as part of the Budget setting process</w:t>
      </w:r>
      <w:r w:rsidRPr="00496867">
        <w:rPr>
          <w:rFonts w:cs="Arial"/>
        </w:rPr>
        <w:t>).</w:t>
      </w:r>
    </w:p>
    <w:p w14:paraId="27B111E1" w14:textId="19B7A442" w:rsidR="00697306" w:rsidRPr="00496867" w:rsidRDefault="00697306" w:rsidP="007220F2">
      <w:pPr>
        <w:pStyle w:val="ListParagraph"/>
        <w:ind w:left="786"/>
        <w:rPr>
          <w:color w:val="auto"/>
          <w:sz w:val="22"/>
          <w:szCs w:val="22"/>
        </w:rPr>
      </w:pPr>
      <w:r>
        <w:t>The introduction of th</w:t>
      </w:r>
      <w:r w:rsidR="00B454DC">
        <w:t>e</w:t>
      </w:r>
      <w:r>
        <w:t xml:space="preserve"> </w:t>
      </w:r>
      <w:r w:rsidR="00B454DC">
        <w:t>IFS</w:t>
      </w:r>
      <w:r>
        <w:t xml:space="preserve"> means that monitoring around CIL and S</w:t>
      </w:r>
      <w:r w:rsidR="00DB4D63">
        <w:t>ection</w:t>
      </w:r>
      <w:r>
        <w:t>106 contributions will now be found in the IFS instead of the AMR.</w:t>
      </w:r>
    </w:p>
    <w:p w14:paraId="0425E911" w14:textId="1634542E" w:rsidR="00A1335E" w:rsidRDefault="00A1335E" w:rsidP="007220F2">
      <w:pPr>
        <w:pStyle w:val="ListParagraph"/>
        <w:ind w:left="786"/>
      </w:pPr>
      <w:r>
        <w:t xml:space="preserve">The AMR provides feedback to </w:t>
      </w:r>
      <w:r w:rsidR="00192DC6">
        <w:t>m</w:t>
      </w:r>
      <w:r>
        <w:t xml:space="preserve">embers, stakeholders and residents on the performance of planning policies and whether the objectives of those policies are being achieved. </w:t>
      </w:r>
      <w:r w:rsidR="00192DC6">
        <w:t>The monitoring also</w:t>
      </w:r>
      <w:r>
        <w:t xml:space="preserve"> enables the Council to respond more quickly to changing priorities and circumstances. </w:t>
      </w:r>
    </w:p>
    <w:p w14:paraId="33C40B42" w14:textId="77777777" w:rsidR="00DB4D63" w:rsidRDefault="00DB4D63" w:rsidP="00DB4D63">
      <w:pPr>
        <w:jc w:val="both"/>
      </w:pPr>
    </w:p>
    <w:p w14:paraId="3D6AF237" w14:textId="7D302D1B" w:rsidR="00A1335E" w:rsidRPr="00155A48" w:rsidRDefault="00A1335E" w:rsidP="00A1335E">
      <w:pPr>
        <w:pStyle w:val="ListParagraph"/>
        <w:numPr>
          <w:ilvl w:val="0"/>
          <w:numId w:val="0"/>
        </w:numPr>
        <w:tabs>
          <w:tab w:val="clear" w:pos="426"/>
          <w:tab w:val="left" w:pos="0"/>
        </w:tabs>
        <w:jc w:val="both"/>
      </w:pPr>
      <w:r w:rsidRPr="00155A48">
        <w:rPr>
          <w:rFonts w:cs="Arial"/>
          <w:b/>
        </w:rPr>
        <w:t>Findings of the 20</w:t>
      </w:r>
      <w:r w:rsidR="00263309">
        <w:rPr>
          <w:rFonts w:cs="Arial"/>
          <w:b/>
        </w:rPr>
        <w:t>1</w:t>
      </w:r>
      <w:r w:rsidR="00EB6BA9">
        <w:rPr>
          <w:rFonts w:cs="Arial"/>
          <w:b/>
        </w:rPr>
        <w:t>9</w:t>
      </w:r>
      <w:r w:rsidR="00263309">
        <w:rPr>
          <w:rFonts w:cs="Arial"/>
          <w:b/>
        </w:rPr>
        <w:t>/</w:t>
      </w:r>
      <w:r w:rsidR="00EB6BA9">
        <w:rPr>
          <w:rFonts w:cs="Arial"/>
          <w:b/>
        </w:rPr>
        <w:t>20</w:t>
      </w:r>
      <w:r w:rsidRPr="00155A48">
        <w:rPr>
          <w:rFonts w:cs="Arial"/>
          <w:b/>
        </w:rPr>
        <w:t xml:space="preserve"> Annual Monitoring Report </w:t>
      </w:r>
    </w:p>
    <w:p w14:paraId="4ADAF4EE" w14:textId="77777777" w:rsidR="00A1335E" w:rsidRPr="00155A48" w:rsidRDefault="00A1335E" w:rsidP="007220F2">
      <w:pPr>
        <w:pStyle w:val="ListParagraph"/>
        <w:rPr>
          <w:rFonts w:cs="Arial"/>
          <w:sz w:val="10"/>
          <w:szCs w:val="10"/>
        </w:rPr>
      </w:pPr>
      <w:r w:rsidRPr="00155A48">
        <w:rPr>
          <w:rFonts w:cs="Arial"/>
        </w:rPr>
        <w:t>The performance of planning policies is monitored using a traffic-light approach. Performance in 20</w:t>
      </w:r>
      <w:r w:rsidR="00263309">
        <w:rPr>
          <w:rFonts w:cs="Arial"/>
        </w:rPr>
        <w:t>1</w:t>
      </w:r>
      <w:r w:rsidR="00EB6BA9">
        <w:rPr>
          <w:rFonts w:cs="Arial"/>
        </w:rPr>
        <w:t>9</w:t>
      </w:r>
      <w:r w:rsidR="00263309">
        <w:rPr>
          <w:rFonts w:cs="Arial"/>
        </w:rPr>
        <w:t>/</w:t>
      </w:r>
      <w:r w:rsidR="00EB6BA9">
        <w:rPr>
          <w:rFonts w:cs="Arial"/>
        </w:rPr>
        <w:t>20</w:t>
      </w:r>
      <w:r w:rsidRPr="00155A48">
        <w:rPr>
          <w:rFonts w:cs="Arial"/>
        </w:rPr>
        <w:t xml:space="preserve"> is summarised in Table 1.</w:t>
      </w:r>
    </w:p>
    <w:p w14:paraId="4CF33D34" w14:textId="77777777" w:rsidR="00A1335E" w:rsidRPr="00155A48" w:rsidRDefault="00A1335E" w:rsidP="00A1335E">
      <w:pPr>
        <w:pStyle w:val="ListParagraph"/>
        <w:numPr>
          <w:ilvl w:val="0"/>
          <w:numId w:val="0"/>
        </w:numPr>
        <w:ind w:left="426"/>
        <w:jc w:val="both"/>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A1335E" w:rsidRPr="00155A48" w14:paraId="655724CB" w14:textId="77777777" w:rsidTr="00254345">
        <w:trPr>
          <w:gridBefore w:val="1"/>
          <w:wBefore w:w="851" w:type="dxa"/>
        </w:trPr>
        <w:tc>
          <w:tcPr>
            <w:tcW w:w="1418" w:type="dxa"/>
            <w:tcBorders>
              <w:top w:val="nil"/>
              <w:left w:val="nil"/>
            </w:tcBorders>
            <w:shd w:val="clear" w:color="auto" w:fill="auto"/>
          </w:tcPr>
          <w:p w14:paraId="2A7FDF90" w14:textId="77777777" w:rsidR="00A1335E" w:rsidRPr="00155A48" w:rsidRDefault="00A1335E" w:rsidP="00254345">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14:paraId="06B071D4" w14:textId="77777777" w:rsidR="00A1335E" w:rsidRPr="00155A48" w:rsidRDefault="00A1335E" w:rsidP="00254345">
            <w:pPr>
              <w:autoSpaceDE w:val="0"/>
              <w:autoSpaceDN w:val="0"/>
              <w:adjustRightInd w:val="0"/>
              <w:contextualSpacing/>
              <w:jc w:val="both"/>
              <w:rPr>
                <w:b/>
                <w:noProof/>
                <w:sz w:val="4"/>
                <w:szCs w:val="4"/>
              </w:rPr>
            </w:pPr>
          </w:p>
          <w:p w14:paraId="3A0B95AD" w14:textId="77777777"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281B6ABF" wp14:editId="3EDAE233">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14:paraId="6979E882" w14:textId="77777777" w:rsidR="00A1335E" w:rsidRPr="00155A48" w:rsidRDefault="00A1335E" w:rsidP="00254345">
            <w:pPr>
              <w:autoSpaceDE w:val="0"/>
              <w:autoSpaceDN w:val="0"/>
              <w:adjustRightInd w:val="0"/>
              <w:contextualSpacing/>
              <w:jc w:val="both"/>
              <w:rPr>
                <w:rFonts w:eastAsia="Calibri" w:cs="Arial"/>
                <w:b/>
                <w:sz w:val="4"/>
                <w:szCs w:val="4"/>
              </w:rPr>
            </w:pPr>
          </w:p>
          <w:p w14:paraId="04D9BB31" w14:textId="77777777"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Targets and objectives have been met / data indicates good progress towards meeting targets.</w:t>
            </w:r>
          </w:p>
        </w:tc>
        <w:tc>
          <w:tcPr>
            <w:tcW w:w="2268" w:type="dxa"/>
            <w:shd w:val="clear" w:color="auto" w:fill="FBD4B4"/>
          </w:tcPr>
          <w:p w14:paraId="2FEEF2DC" w14:textId="77777777" w:rsidR="00A1335E" w:rsidRPr="00155A48" w:rsidRDefault="00A1335E" w:rsidP="00254345">
            <w:pPr>
              <w:autoSpaceDE w:val="0"/>
              <w:autoSpaceDN w:val="0"/>
              <w:adjustRightInd w:val="0"/>
              <w:contextualSpacing/>
              <w:jc w:val="both"/>
              <w:rPr>
                <w:b/>
                <w:noProof/>
                <w:sz w:val="4"/>
                <w:szCs w:val="4"/>
              </w:rPr>
            </w:pPr>
          </w:p>
          <w:p w14:paraId="7CE7B444" w14:textId="77777777"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6E249CEF" wp14:editId="0DA577EF">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14:paraId="5FFB8671" w14:textId="77777777" w:rsidR="00A1335E" w:rsidRPr="00155A48" w:rsidRDefault="00A1335E" w:rsidP="00254345">
            <w:pPr>
              <w:autoSpaceDE w:val="0"/>
              <w:autoSpaceDN w:val="0"/>
              <w:adjustRightInd w:val="0"/>
              <w:contextualSpacing/>
              <w:jc w:val="both"/>
              <w:rPr>
                <w:b/>
                <w:noProof/>
                <w:sz w:val="4"/>
                <w:szCs w:val="4"/>
              </w:rPr>
            </w:pPr>
          </w:p>
          <w:p w14:paraId="4F619310" w14:textId="77777777"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Limited progression towards meeting targets / insufficient information to make an assessment.</w:t>
            </w:r>
          </w:p>
        </w:tc>
        <w:tc>
          <w:tcPr>
            <w:tcW w:w="2268" w:type="dxa"/>
            <w:shd w:val="clear" w:color="auto" w:fill="E5B8B7"/>
          </w:tcPr>
          <w:p w14:paraId="6D53A9DF" w14:textId="77777777" w:rsidR="00A1335E" w:rsidRPr="00155A48" w:rsidRDefault="00A1335E" w:rsidP="00254345">
            <w:pPr>
              <w:autoSpaceDE w:val="0"/>
              <w:autoSpaceDN w:val="0"/>
              <w:adjustRightInd w:val="0"/>
              <w:contextualSpacing/>
              <w:jc w:val="both"/>
              <w:rPr>
                <w:rFonts w:eastAsia="Calibri" w:cs="Arial"/>
                <w:b/>
                <w:sz w:val="4"/>
                <w:szCs w:val="4"/>
              </w:rPr>
            </w:pPr>
          </w:p>
          <w:p w14:paraId="3DA8C0C7" w14:textId="77777777" w:rsidR="00A1335E" w:rsidRPr="00155A48" w:rsidRDefault="00A1335E" w:rsidP="00254345">
            <w:pPr>
              <w:autoSpaceDE w:val="0"/>
              <w:autoSpaceDN w:val="0"/>
              <w:adjustRightInd w:val="0"/>
              <w:contextualSpacing/>
              <w:jc w:val="both"/>
              <w:rPr>
                <w:noProof/>
              </w:rPr>
            </w:pPr>
            <w:r w:rsidRPr="00155A48">
              <w:rPr>
                <w:noProof/>
              </w:rPr>
              <w:drawing>
                <wp:inline distT="0" distB="0" distL="0" distR="0" wp14:anchorId="1FF6D016" wp14:editId="5A99A1AD">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14:paraId="0DF87A5F" w14:textId="77777777" w:rsidR="00A1335E" w:rsidRPr="00155A48" w:rsidRDefault="00A1335E" w:rsidP="00254345">
            <w:pPr>
              <w:autoSpaceDE w:val="0"/>
              <w:autoSpaceDN w:val="0"/>
              <w:adjustRightInd w:val="0"/>
              <w:contextualSpacing/>
              <w:jc w:val="both"/>
              <w:rPr>
                <w:rFonts w:eastAsia="Calibri" w:cs="Arial"/>
                <w:b/>
                <w:sz w:val="4"/>
                <w:szCs w:val="4"/>
              </w:rPr>
            </w:pPr>
          </w:p>
          <w:p w14:paraId="107B4D74" w14:textId="77777777" w:rsidR="00A1335E" w:rsidRPr="00155A48" w:rsidRDefault="00A1335E" w:rsidP="00254345">
            <w:pPr>
              <w:autoSpaceDE w:val="0"/>
              <w:autoSpaceDN w:val="0"/>
              <w:adjustRightInd w:val="0"/>
              <w:contextualSpacing/>
              <w:jc w:val="both"/>
              <w:rPr>
                <w:rFonts w:eastAsia="Calibri" w:cs="Arial"/>
                <w:sz w:val="8"/>
                <w:szCs w:val="8"/>
              </w:rPr>
            </w:pPr>
            <w:r w:rsidRPr="00155A48">
              <w:rPr>
                <w:rFonts w:eastAsia="Calibri" w:cs="Arial"/>
                <w:sz w:val="18"/>
                <w:szCs w:val="22"/>
              </w:rPr>
              <w:t>Data indicates under-performance against targets and objectives.</w:t>
            </w:r>
          </w:p>
        </w:tc>
      </w:tr>
      <w:tr w:rsidR="00A1335E" w:rsidRPr="00155A48" w14:paraId="6151E195" w14:textId="77777777" w:rsidTr="00254345">
        <w:tc>
          <w:tcPr>
            <w:tcW w:w="2269" w:type="dxa"/>
            <w:gridSpan w:val="2"/>
            <w:shd w:val="clear" w:color="auto" w:fill="auto"/>
          </w:tcPr>
          <w:p w14:paraId="5B2B6ECA"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A Vibrant and Sustainable Economy</w:t>
            </w:r>
          </w:p>
        </w:tc>
        <w:tc>
          <w:tcPr>
            <w:tcW w:w="2268" w:type="dxa"/>
            <w:shd w:val="clear" w:color="auto" w:fill="auto"/>
            <w:vAlign w:val="center"/>
          </w:tcPr>
          <w:p w14:paraId="2C461C91" w14:textId="14911B65" w:rsidR="00A1335E" w:rsidRPr="00155A48" w:rsidRDefault="004B713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3</w:t>
            </w:r>
          </w:p>
        </w:tc>
        <w:tc>
          <w:tcPr>
            <w:tcW w:w="2268" w:type="dxa"/>
            <w:shd w:val="clear" w:color="auto" w:fill="auto"/>
            <w:vAlign w:val="center"/>
          </w:tcPr>
          <w:p w14:paraId="18C2B0B5" w14:textId="77777777"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c>
          <w:tcPr>
            <w:tcW w:w="2268" w:type="dxa"/>
            <w:shd w:val="clear" w:color="auto" w:fill="auto"/>
            <w:vAlign w:val="center"/>
          </w:tcPr>
          <w:p w14:paraId="0001D4EB" w14:textId="5910BE21" w:rsidR="00A1335E" w:rsidRPr="00155A48" w:rsidRDefault="00774D56"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1</w:t>
            </w:r>
          </w:p>
        </w:tc>
      </w:tr>
      <w:tr w:rsidR="00A1335E" w:rsidRPr="00155A48" w14:paraId="658D22F9" w14:textId="77777777" w:rsidTr="00254345">
        <w:tc>
          <w:tcPr>
            <w:tcW w:w="2269" w:type="dxa"/>
            <w:gridSpan w:val="2"/>
            <w:shd w:val="clear" w:color="auto" w:fill="auto"/>
          </w:tcPr>
          <w:p w14:paraId="1D480366"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Meeting Housing Needs</w:t>
            </w:r>
          </w:p>
        </w:tc>
        <w:tc>
          <w:tcPr>
            <w:tcW w:w="2268" w:type="dxa"/>
            <w:shd w:val="clear" w:color="auto" w:fill="auto"/>
            <w:vAlign w:val="center"/>
          </w:tcPr>
          <w:p w14:paraId="6EB72177" w14:textId="0679EDEC" w:rsidR="00A1335E" w:rsidRPr="00155A48" w:rsidRDefault="00BD5DE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4</w:t>
            </w:r>
          </w:p>
        </w:tc>
        <w:tc>
          <w:tcPr>
            <w:tcW w:w="2268" w:type="dxa"/>
            <w:shd w:val="clear" w:color="auto" w:fill="auto"/>
            <w:vAlign w:val="center"/>
          </w:tcPr>
          <w:p w14:paraId="028BC207" w14:textId="0C323ADE" w:rsidR="00A1335E" w:rsidRPr="004B713D" w:rsidRDefault="00BD5DE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2</w:t>
            </w:r>
          </w:p>
        </w:tc>
        <w:tc>
          <w:tcPr>
            <w:tcW w:w="2268" w:type="dxa"/>
            <w:shd w:val="clear" w:color="auto" w:fill="auto"/>
            <w:vAlign w:val="center"/>
          </w:tcPr>
          <w:p w14:paraId="469F3A51" w14:textId="19FB9DA1" w:rsidR="00A1335E" w:rsidRPr="00155A48" w:rsidRDefault="004B713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2</w:t>
            </w:r>
          </w:p>
        </w:tc>
      </w:tr>
      <w:tr w:rsidR="00A1335E" w:rsidRPr="00155A48" w14:paraId="5E9873AC" w14:textId="77777777" w:rsidTr="00254345">
        <w:tc>
          <w:tcPr>
            <w:tcW w:w="2269" w:type="dxa"/>
            <w:gridSpan w:val="2"/>
            <w:shd w:val="clear" w:color="auto" w:fill="auto"/>
          </w:tcPr>
          <w:p w14:paraId="72838A5D"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Strong and Active Communities</w:t>
            </w:r>
          </w:p>
        </w:tc>
        <w:tc>
          <w:tcPr>
            <w:tcW w:w="2268" w:type="dxa"/>
            <w:shd w:val="clear" w:color="auto" w:fill="auto"/>
            <w:vAlign w:val="center"/>
          </w:tcPr>
          <w:p w14:paraId="3B5FFECE" w14:textId="77777777" w:rsidR="00A1335E" w:rsidRPr="00155A48" w:rsidRDefault="00A1335E" w:rsidP="00254345">
            <w:pPr>
              <w:spacing w:before="80"/>
              <w:jc w:val="both"/>
              <w:rPr>
                <w:rFonts w:cs="Arial"/>
                <w:sz w:val="20"/>
                <w:szCs w:val="20"/>
              </w:rPr>
            </w:pPr>
            <w:r w:rsidRPr="00155A48">
              <w:rPr>
                <w:rFonts w:cs="Arial"/>
                <w:sz w:val="20"/>
                <w:szCs w:val="20"/>
              </w:rPr>
              <w:t>3</w:t>
            </w:r>
          </w:p>
        </w:tc>
        <w:tc>
          <w:tcPr>
            <w:tcW w:w="2268" w:type="dxa"/>
            <w:shd w:val="clear" w:color="auto" w:fill="auto"/>
            <w:vAlign w:val="center"/>
          </w:tcPr>
          <w:p w14:paraId="6CBF09C3" w14:textId="77777777" w:rsidR="00A1335E" w:rsidRPr="00155A48" w:rsidRDefault="00A1335E" w:rsidP="00254345">
            <w:pPr>
              <w:spacing w:before="80"/>
              <w:jc w:val="both"/>
              <w:rPr>
                <w:rFonts w:cs="Arial"/>
                <w:sz w:val="20"/>
                <w:szCs w:val="20"/>
              </w:rPr>
            </w:pPr>
            <w:r w:rsidRPr="00155A48">
              <w:rPr>
                <w:rFonts w:cs="Arial"/>
                <w:sz w:val="20"/>
                <w:szCs w:val="20"/>
              </w:rPr>
              <w:t>0</w:t>
            </w:r>
          </w:p>
        </w:tc>
        <w:tc>
          <w:tcPr>
            <w:tcW w:w="2268" w:type="dxa"/>
            <w:shd w:val="clear" w:color="auto" w:fill="auto"/>
            <w:vAlign w:val="center"/>
          </w:tcPr>
          <w:p w14:paraId="77E67160" w14:textId="77777777"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14:paraId="3E2FCA66" w14:textId="77777777" w:rsidTr="00254345">
        <w:tc>
          <w:tcPr>
            <w:tcW w:w="2269" w:type="dxa"/>
            <w:gridSpan w:val="2"/>
            <w:shd w:val="clear" w:color="auto" w:fill="auto"/>
          </w:tcPr>
          <w:p w14:paraId="199A7ACF"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A Clean and Green Oxford</w:t>
            </w:r>
          </w:p>
        </w:tc>
        <w:tc>
          <w:tcPr>
            <w:tcW w:w="2268" w:type="dxa"/>
            <w:shd w:val="clear" w:color="auto" w:fill="auto"/>
            <w:vAlign w:val="center"/>
          </w:tcPr>
          <w:p w14:paraId="56660B33" w14:textId="52A9157B" w:rsidR="00A1335E" w:rsidRPr="00155A48" w:rsidRDefault="00EB4083" w:rsidP="00254345">
            <w:pPr>
              <w:spacing w:before="80"/>
              <w:jc w:val="both"/>
              <w:rPr>
                <w:rFonts w:cs="Arial"/>
                <w:sz w:val="20"/>
                <w:szCs w:val="20"/>
              </w:rPr>
            </w:pPr>
            <w:r>
              <w:rPr>
                <w:rFonts w:cs="Arial"/>
                <w:sz w:val="20"/>
                <w:szCs w:val="20"/>
              </w:rPr>
              <w:t>6</w:t>
            </w:r>
          </w:p>
        </w:tc>
        <w:tc>
          <w:tcPr>
            <w:tcW w:w="2268" w:type="dxa"/>
            <w:shd w:val="clear" w:color="auto" w:fill="auto"/>
            <w:vAlign w:val="center"/>
          </w:tcPr>
          <w:p w14:paraId="23C87F9E" w14:textId="00EF05AA" w:rsidR="00A1335E" w:rsidRPr="00155A48" w:rsidRDefault="00EB4083" w:rsidP="00254345">
            <w:pPr>
              <w:spacing w:before="80"/>
              <w:jc w:val="both"/>
              <w:rPr>
                <w:rFonts w:cs="Arial"/>
                <w:sz w:val="20"/>
                <w:szCs w:val="20"/>
              </w:rPr>
            </w:pPr>
            <w:r>
              <w:rPr>
                <w:rFonts w:cs="Arial"/>
                <w:sz w:val="20"/>
                <w:szCs w:val="20"/>
              </w:rPr>
              <w:t>3</w:t>
            </w:r>
          </w:p>
        </w:tc>
        <w:tc>
          <w:tcPr>
            <w:tcW w:w="2268" w:type="dxa"/>
            <w:shd w:val="clear" w:color="auto" w:fill="auto"/>
            <w:vAlign w:val="center"/>
          </w:tcPr>
          <w:p w14:paraId="5DD48CF0" w14:textId="77777777"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14:paraId="49E8E439" w14:textId="77777777" w:rsidTr="00254345">
        <w:tc>
          <w:tcPr>
            <w:tcW w:w="2269" w:type="dxa"/>
            <w:gridSpan w:val="2"/>
            <w:shd w:val="clear" w:color="auto" w:fill="auto"/>
          </w:tcPr>
          <w:p w14:paraId="4A748485"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lastRenderedPageBreak/>
              <w:t>An Efficient and Effective Council</w:t>
            </w:r>
          </w:p>
        </w:tc>
        <w:tc>
          <w:tcPr>
            <w:tcW w:w="6804" w:type="dxa"/>
            <w:gridSpan w:val="3"/>
            <w:shd w:val="clear" w:color="auto" w:fill="auto"/>
          </w:tcPr>
          <w:p w14:paraId="730CB782" w14:textId="77777777" w:rsidR="00A1335E" w:rsidRPr="00155A48" w:rsidRDefault="00A1335E" w:rsidP="00254345">
            <w:pPr>
              <w:spacing w:before="80"/>
              <w:jc w:val="both"/>
              <w:rPr>
                <w:rFonts w:cs="Arial"/>
                <w:sz w:val="20"/>
                <w:szCs w:val="20"/>
              </w:rPr>
            </w:pPr>
            <w:r w:rsidRPr="00155A48">
              <w:rPr>
                <w:rFonts w:cs="Arial"/>
                <w:sz w:val="20"/>
                <w:szCs w:val="20"/>
              </w:rPr>
              <w:t>N/A – Traffic lights are not used to monitor progress in this section as there are no fixed targets.</w:t>
            </w:r>
          </w:p>
        </w:tc>
      </w:tr>
    </w:tbl>
    <w:p w14:paraId="06882B10" w14:textId="77777777" w:rsidR="00A1335E" w:rsidRPr="00155A48" w:rsidRDefault="00A1335E" w:rsidP="00EB4083">
      <w:pPr>
        <w:jc w:val="center"/>
        <w:rPr>
          <w:rFonts w:cs="Arial"/>
          <w:b/>
          <w:sz w:val="20"/>
        </w:rPr>
      </w:pPr>
      <w:r w:rsidRPr="00155A48">
        <w:rPr>
          <w:rFonts w:cs="Arial"/>
          <w:b/>
          <w:sz w:val="20"/>
        </w:rPr>
        <w:t>Table 1: Summary of performance against targets 20</w:t>
      </w:r>
      <w:r w:rsidR="00EB6BA9">
        <w:rPr>
          <w:rFonts w:cs="Arial"/>
          <w:b/>
          <w:sz w:val="20"/>
        </w:rPr>
        <w:t>19</w:t>
      </w:r>
      <w:r w:rsidR="00263309">
        <w:rPr>
          <w:rFonts w:cs="Arial"/>
          <w:b/>
          <w:sz w:val="20"/>
        </w:rPr>
        <w:t>/</w:t>
      </w:r>
      <w:r w:rsidR="00EB6BA9">
        <w:rPr>
          <w:rFonts w:cs="Arial"/>
          <w:b/>
          <w:sz w:val="20"/>
        </w:rPr>
        <w:t>20</w:t>
      </w:r>
    </w:p>
    <w:p w14:paraId="30E8BBD0" w14:textId="77777777" w:rsidR="00A1335E" w:rsidRPr="006225A5" w:rsidRDefault="00A1335E" w:rsidP="00A1335E">
      <w:pPr>
        <w:pStyle w:val="ListParagraph"/>
        <w:numPr>
          <w:ilvl w:val="0"/>
          <w:numId w:val="0"/>
        </w:numPr>
        <w:jc w:val="both"/>
        <w:rPr>
          <w:rFonts w:cs="Arial"/>
          <w:sz w:val="10"/>
          <w:szCs w:val="10"/>
        </w:rPr>
      </w:pPr>
    </w:p>
    <w:p w14:paraId="6B79DA79" w14:textId="77777777" w:rsidR="00A1335E" w:rsidRPr="00EB4083" w:rsidRDefault="00A1335E" w:rsidP="007220F2">
      <w:pPr>
        <w:pStyle w:val="ListParagraph"/>
        <w:rPr>
          <w:rFonts w:cs="Arial"/>
          <w:sz w:val="10"/>
          <w:szCs w:val="10"/>
        </w:rPr>
      </w:pPr>
      <w:r w:rsidRPr="00EB4083">
        <w:rPr>
          <w:rFonts w:cs="Arial"/>
        </w:rPr>
        <w:t>Overall performance in 20</w:t>
      </w:r>
      <w:r w:rsidR="00263309" w:rsidRPr="00EB4083">
        <w:rPr>
          <w:rFonts w:cs="Arial"/>
        </w:rPr>
        <w:t>1</w:t>
      </w:r>
      <w:r w:rsidR="00EB6BA9" w:rsidRPr="00EB4083">
        <w:rPr>
          <w:rFonts w:cs="Arial"/>
        </w:rPr>
        <w:t>9</w:t>
      </w:r>
      <w:r w:rsidR="00263309" w:rsidRPr="00EB4083">
        <w:rPr>
          <w:rFonts w:cs="Arial"/>
        </w:rPr>
        <w:t>/</w:t>
      </w:r>
      <w:r w:rsidR="00EB6BA9" w:rsidRPr="00EB4083">
        <w:rPr>
          <w:rFonts w:cs="Arial"/>
        </w:rPr>
        <w:t>20</w:t>
      </w:r>
      <w:r w:rsidRPr="00EB4083">
        <w:rPr>
          <w:rFonts w:cs="Arial"/>
        </w:rPr>
        <w:t xml:space="preserve"> is positive, with the majority of indicators scoring green ratings for meeting or making considerable progress towards targets. </w:t>
      </w:r>
    </w:p>
    <w:p w14:paraId="3CBF51D6" w14:textId="77777777" w:rsidR="00A1335E" w:rsidRPr="0034139A" w:rsidRDefault="00A1335E" w:rsidP="00A1335E">
      <w:pPr>
        <w:jc w:val="both"/>
        <w:rPr>
          <w:rFonts w:cs="Arial"/>
          <w:u w:val="single"/>
        </w:rPr>
      </w:pPr>
      <w:r w:rsidRPr="0034139A">
        <w:rPr>
          <w:rFonts w:cs="Arial"/>
          <w:u w:val="single"/>
        </w:rPr>
        <w:t>A Vibrant and Sustainable Economy</w:t>
      </w:r>
    </w:p>
    <w:p w14:paraId="12B35E94" w14:textId="6EC41AE1" w:rsidR="00A1335E" w:rsidRPr="00EB4083" w:rsidRDefault="00192DC6" w:rsidP="00A1335E">
      <w:pPr>
        <w:pStyle w:val="ListParagraph"/>
        <w:jc w:val="both"/>
        <w:rPr>
          <w:rFonts w:cs="Arial"/>
        </w:rPr>
      </w:pPr>
      <w:r>
        <w:rPr>
          <w:rFonts w:cs="Arial"/>
        </w:rPr>
        <w:t xml:space="preserve">The </w:t>
      </w:r>
      <w:r w:rsidR="00A1335E" w:rsidRPr="00EB4083">
        <w:rPr>
          <w:rFonts w:cs="Arial"/>
        </w:rPr>
        <w:t xml:space="preserve">AMR indicators show that current policies are providing strong protection for existing protected key employment sites. </w:t>
      </w:r>
    </w:p>
    <w:p w14:paraId="2504B797" w14:textId="09949E91" w:rsidR="00774D56" w:rsidRDefault="00192DC6" w:rsidP="00A1335E">
      <w:pPr>
        <w:pStyle w:val="ListParagraph"/>
        <w:jc w:val="both"/>
        <w:rPr>
          <w:rFonts w:cs="Arial"/>
        </w:rPr>
      </w:pPr>
      <w:r>
        <w:rPr>
          <w:rFonts w:cs="Arial"/>
        </w:rPr>
        <w:t xml:space="preserve">Development of </w:t>
      </w:r>
      <w:r w:rsidR="00B85302" w:rsidRPr="00B85302">
        <w:rPr>
          <w:rFonts w:cs="Arial"/>
        </w:rPr>
        <w:t>1</w:t>
      </w:r>
      <w:r w:rsidR="007220F2">
        <w:rPr>
          <w:rFonts w:cs="Arial"/>
        </w:rPr>
        <w:t>736.7</w:t>
      </w:r>
      <w:r w:rsidR="00A1335E" w:rsidRPr="00B85302">
        <w:rPr>
          <w:rFonts w:cs="Arial"/>
        </w:rPr>
        <w:t>m</w:t>
      </w:r>
      <w:r w:rsidR="00A1335E" w:rsidRPr="00B85302">
        <w:rPr>
          <w:rFonts w:cs="Arial"/>
          <w:vertAlign w:val="superscript"/>
        </w:rPr>
        <w:t>2</w:t>
      </w:r>
      <w:r w:rsidR="00A1335E" w:rsidRPr="00B85302">
        <w:rPr>
          <w:rFonts w:cs="Arial"/>
        </w:rPr>
        <w:t xml:space="preserve"> of new B1 employment </w:t>
      </w:r>
      <w:proofErr w:type="spellStart"/>
      <w:r w:rsidR="00A1335E" w:rsidRPr="00B85302">
        <w:rPr>
          <w:rFonts w:cs="Arial"/>
        </w:rPr>
        <w:t>floorspace</w:t>
      </w:r>
      <w:proofErr w:type="spellEnd"/>
      <w:r w:rsidR="00A1335E" w:rsidRPr="00B85302">
        <w:rPr>
          <w:rFonts w:cs="Arial"/>
        </w:rPr>
        <w:t xml:space="preserve"> was permitted during the 20</w:t>
      </w:r>
      <w:r w:rsidR="00263309" w:rsidRPr="00B85302">
        <w:rPr>
          <w:rFonts w:cs="Arial"/>
        </w:rPr>
        <w:t>1</w:t>
      </w:r>
      <w:r w:rsidR="00B85302" w:rsidRPr="00B85302">
        <w:rPr>
          <w:rFonts w:cs="Arial"/>
        </w:rPr>
        <w:t>9</w:t>
      </w:r>
      <w:r w:rsidR="00263309" w:rsidRPr="00B85302">
        <w:rPr>
          <w:rFonts w:cs="Arial"/>
        </w:rPr>
        <w:t>/</w:t>
      </w:r>
      <w:r w:rsidR="00B85302" w:rsidRPr="00B85302">
        <w:rPr>
          <w:rFonts w:cs="Arial"/>
        </w:rPr>
        <w:t>20</w:t>
      </w:r>
      <w:r w:rsidR="00A1335E" w:rsidRPr="00B85302">
        <w:rPr>
          <w:rFonts w:cs="Arial"/>
        </w:rPr>
        <w:t xml:space="preserve"> monitoring year. </w:t>
      </w:r>
      <w:r w:rsidR="00A1335E" w:rsidRPr="00D662E8">
        <w:rPr>
          <w:rFonts w:cs="Arial"/>
        </w:rPr>
        <w:t xml:space="preserve">There has also been continued investment in new medical research and hospital healthcare facilities in Oxford during the monitoring year, with </w:t>
      </w:r>
      <w:r w:rsidR="00D662E8" w:rsidRPr="00D662E8">
        <w:rPr>
          <w:rFonts w:cs="Arial"/>
        </w:rPr>
        <w:t>5,921</w:t>
      </w:r>
      <w:r w:rsidR="00A1335E" w:rsidRPr="00D662E8">
        <w:rPr>
          <w:rFonts w:cs="Arial"/>
        </w:rPr>
        <w:t>m</w:t>
      </w:r>
      <w:r w:rsidR="00A1335E" w:rsidRPr="00D662E8">
        <w:rPr>
          <w:rFonts w:cs="Arial"/>
          <w:vertAlign w:val="superscript"/>
        </w:rPr>
        <w:t>2</w:t>
      </w:r>
      <w:r w:rsidR="00A1335E" w:rsidRPr="00D662E8">
        <w:rPr>
          <w:rFonts w:cs="Arial"/>
        </w:rPr>
        <w:t xml:space="preserve"> of new </w:t>
      </w:r>
      <w:proofErr w:type="spellStart"/>
      <w:r w:rsidR="00A1335E" w:rsidRPr="00D662E8">
        <w:rPr>
          <w:rFonts w:cs="Arial"/>
        </w:rPr>
        <w:t>floorspace</w:t>
      </w:r>
      <w:proofErr w:type="spellEnd"/>
      <w:r w:rsidR="00A1335E" w:rsidRPr="00D662E8">
        <w:rPr>
          <w:rFonts w:cs="Arial"/>
        </w:rPr>
        <w:t xml:space="preserve"> permitted during 20</w:t>
      </w:r>
      <w:r w:rsidR="00263309" w:rsidRPr="00D662E8">
        <w:rPr>
          <w:rFonts w:cs="Arial"/>
        </w:rPr>
        <w:t>1</w:t>
      </w:r>
      <w:r w:rsidR="00D662E8" w:rsidRPr="00D662E8">
        <w:rPr>
          <w:rFonts w:cs="Arial"/>
        </w:rPr>
        <w:t>9</w:t>
      </w:r>
      <w:r w:rsidR="00263309" w:rsidRPr="00D662E8">
        <w:rPr>
          <w:rFonts w:cs="Arial"/>
        </w:rPr>
        <w:t>/</w:t>
      </w:r>
      <w:r w:rsidR="00D662E8" w:rsidRPr="00D662E8">
        <w:rPr>
          <w:rFonts w:cs="Arial"/>
        </w:rPr>
        <w:t>20</w:t>
      </w:r>
      <w:r w:rsidR="00A1335E" w:rsidRPr="00D662E8">
        <w:rPr>
          <w:rFonts w:cs="Arial"/>
        </w:rPr>
        <w:t>.</w:t>
      </w:r>
      <w:r w:rsidR="00774D56">
        <w:rPr>
          <w:rFonts w:cs="Arial"/>
        </w:rPr>
        <w:t xml:space="preserve">  </w:t>
      </w:r>
    </w:p>
    <w:p w14:paraId="32139054" w14:textId="4B63F8AF" w:rsidR="00D662E8" w:rsidRDefault="00774D56" w:rsidP="007220F2">
      <w:pPr>
        <w:pStyle w:val="ListParagraph"/>
        <w:rPr>
          <w:rFonts w:cs="Arial"/>
        </w:rPr>
      </w:pPr>
      <w:r>
        <w:rPr>
          <w:rFonts w:cs="Arial"/>
        </w:rPr>
        <w:t>Planning permission was granted for an additional 7583m</w:t>
      </w:r>
      <w:r w:rsidRPr="00774D56">
        <w:rPr>
          <w:rFonts w:cs="Arial"/>
          <w:vertAlign w:val="superscript"/>
        </w:rPr>
        <w:t>2</w:t>
      </w:r>
      <w:r>
        <w:rPr>
          <w:rFonts w:cs="Arial"/>
        </w:rPr>
        <w:t xml:space="preserve"> of academic teaching and study </w:t>
      </w:r>
      <w:proofErr w:type="spellStart"/>
      <w:r>
        <w:rPr>
          <w:rFonts w:cs="Arial"/>
        </w:rPr>
        <w:t>floorspace</w:t>
      </w:r>
      <w:proofErr w:type="spellEnd"/>
      <w:r>
        <w:rPr>
          <w:rFonts w:cs="Arial"/>
        </w:rPr>
        <w:t xml:space="preserve"> during the 2019/20 monitoring year. </w:t>
      </w:r>
    </w:p>
    <w:p w14:paraId="02C3DD8D" w14:textId="4664A1FB" w:rsidR="00496867" w:rsidRPr="0085728C" w:rsidRDefault="0090707C" w:rsidP="007220F2">
      <w:pPr>
        <w:pStyle w:val="ListParagraph"/>
        <w:rPr>
          <w:rFonts w:cs="Arial"/>
        </w:rPr>
      </w:pPr>
      <w:r w:rsidRPr="0085728C">
        <w:rPr>
          <w:rFonts w:eastAsia="Calibri" w:cs="Calibri"/>
          <w:szCs w:val="22"/>
        </w:rPr>
        <w:t>Planning permission was granted for</w:t>
      </w:r>
      <w:r w:rsidR="0085728C" w:rsidRPr="0085728C">
        <w:rPr>
          <w:rFonts w:eastAsia="Calibri" w:cs="Calibri"/>
          <w:szCs w:val="22"/>
        </w:rPr>
        <w:t xml:space="preserve"> two </w:t>
      </w:r>
      <w:r w:rsidRPr="0085728C">
        <w:rPr>
          <w:rFonts w:eastAsia="Calibri" w:cs="Calibri"/>
          <w:szCs w:val="22"/>
        </w:rPr>
        <w:t>developments that would result in new</w:t>
      </w:r>
      <w:r w:rsidR="000F1603" w:rsidRPr="0085728C">
        <w:rPr>
          <w:rFonts w:eastAsia="Calibri" w:cs="Calibri"/>
          <w:szCs w:val="22"/>
        </w:rPr>
        <w:t xml:space="preserve"> net </w:t>
      </w:r>
      <w:r w:rsidRPr="0085728C">
        <w:rPr>
          <w:rFonts w:eastAsia="Calibri" w:cs="Calibri"/>
          <w:szCs w:val="22"/>
        </w:rPr>
        <w:t xml:space="preserve">A1 retail </w:t>
      </w:r>
      <w:proofErr w:type="spellStart"/>
      <w:r w:rsidRPr="0085728C">
        <w:rPr>
          <w:rFonts w:eastAsia="Calibri" w:cs="Calibri"/>
          <w:szCs w:val="22"/>
        </w:rPr>
        <w:t>floorspace</w:t>
      </w:r>
      <w:proofErr w:type="spellEnd"/>
      <w:r w:rsidRPr="0085728C">
        <w:rPr>
          <w:rFonts w:eastAsia="Calibri" w:cs="Calibri"/>
          <w:szCs w:val="22"/>
        </w:rPr>
        <w:t xml:space="preserve"> totalling </w:t>
      </w:r>
      <w:r w:rsidR="0085728C" w:rsidRPr="0085728C">
        <w:rPr>
          <w:rFonts w:eastAsia="Calibri" w:cs="Calibri"/>
          <w:szCs w:val="22"/>
        </w:rPr>
        <w:t>122.8</w:t>
      </w:r>
      <w:r w:rsidRPr="0085728C">
        <w:rPr>
          <w:rFonts w:eastAsia="Calibri" w:cs="Calibri"/>
          <w:szCs w:val="22"/>
        </w:rPr>
        <w:t>m</w:t>
      </w:r>
      <w:r w:rsidRPr="0085728C">
        <w:rPr>
          <w:rFonts w:eastAsia="Calibri" w:cs="Calibri"/>
          <w:szCs w:val="22"/>
          <w:vertAlign w:val="superscript"/>
        </w:rPr>
        <w:t>2</w:t>
      </w:r>
      <w:r w:rsidRPr="0085728C">
        <w:rPr>
          <w:rFonts w:eastAsia="Calibri" w:cs="Calibri"/>
          <w:szCs w:val="22"/>
        </w:rPr>
        <w:t xml:space="preserve"> in 20</w:t>
      </w:r>
      <w:r w:rsidR="0085728C" w:rsidRPr="0085728C">
        <w:rPr>
          <w:rFonts w:eastAsia="Calibri" w:cs="Calibri"/>
          <w:szCs w:val="22"/>
        </w:rPr>
        <w:t>19/20</w:t>
      </w:r>
      <w:r w:rsidRPr="0085728C">
        <w:rPr>
          <w:rFonts w:eastAsia="Calibri" w:cs="Calibri"/>
          <w:szCs w:val="22"/>
        </w:rPr>
        <w:t>, if implemented.</w:t>
      </w:r>
      <w:r w:rsidR="0085728C" w:rsidRPr="0085728C">
        <w:rPr>
          <w:rFonts w:eastAsia="Calibri" w:cs="Calibri"/>
          <w:szCs w:val="22"/>
        </w:rPr>
        <w:t xml:space="preserve">  One of these </w:t>
      </w:r>
      <w:r w:rsidRPr="0085728C">
        <w:rPr>
          <w:rFonts w:eastAsia="Calibri" w:cs="Calibri"/>
          <w:szCs w:val="22"/>
        </w:rPr>
        <w:t>applications</w:t>
      </w:r>
      <w:r w:rsidR="0085728C" w:rsidRPr="0085728C">
        <w:rPr>
          <w:rFonts w:eastAsia="Calibri" w:cs="Calibri"/>
          <w:szCs w:val="22"/>
        </w:rPr>
        <w:t xml:space="preserve"> was </w:t>
      </w:r>
      <w:r w:rsidRPr="0085728C">
        <w:rPr>
          <w:rFonts w:eastAsia="Calibri" w:cs="Calibri"/>
          <w:szCs w:val="22"/>
        </w:rPr>
        <w:t>located on</w:t>
      </w:r>
      <w:r w:rsidR="0085728C" w:rsidRPr="0085728C">
        <w:rPr>
          <w:rFonts w:eastAsia="Calibri" w:cs="Calibri"/>
          <w:szCs w:val="22"/>
        </w:rPr>
        <w:t xml:space="preserve"> a</w:t>
      </w:r>
      <w:r w:rsidRPr="0085728C">
        <w:rPr>
          <w:rFonts w:eastAsia="Calibri" w:cs="Calibri"/>
          <w:szCs w:val="22"/>
        </w:rPr>
        <w:t xml:space="preserve"> site that do</w:t>
      </w:r>
      <w:r w:rsidR="0085728C" w:rsidRPr="0085728C">
        <w:rPr>
          <w:rFonts w:eastAsia="Calibri" w:cs="Calibri"/>
          <w:szCs w:val="22"/>
        </w:rPr>
        <w:t>es</w:t>
      </w:r>
      <w:r w:rsidRPr="0085728C">
        <w:rPr>
          <w:rFonts w:eastAsia="Calibri" w:cs="Calibri"/>
          <w:szCs w:val="22"/>
        </w:rPr>
        <w:t xml:space="preserve"> not fall within Oxford’s retail hierarchy and therefore did not comply with the locational requirements of Policy CS31.  </w:t>
      </w:r>
    </w:p>
    <w:p w14:paraId="13DC2266" w14:textId="64AE2505" w:rsidR="00B2498A" w:rsidRPr="0085728C" w:rsidRDefault="00B2498A" w:rsidP="007220F2">
      <w:pPr>
        <w:pStyle w:val="ListParagraph"/>
        <w:rPr>
          <w:rFonts w:cs="Arial"/>
        </w:rPr>
      </w:pPr>
      <w:r w:rsidRPr="0085728C">
        <w:rPr>
          <w:rFonts w:cs="Arial"/>
        </w:rPr>
        <w:t xml:space="preserve">Due to the Covid-19 pandemic this AMR does not include information on the proportion of A1 retail uses on Oxford’s designated street frontages as retail surveys were not undertaken at the end of the monitoring year.  </w:t>
      </w:r>
    </w:p>
    <w:p w14:paraId="578A6EBB" w14:textId="77777777" w:rsidR="0059519F" w:rsidRPr="007B5A34" w:rsidRDefault="0059519F" w:rsidP="0059519F">
      <w:pPr>
        <w:jc w:val="both"/>
        <w:rPr>
          <w:rFonts w:cs="Arial"/>
        </w:rPr>
      </w:pPr>
    </w:p>
    <w:p w14:paraId="0CAD4B77" w14:textId="77777777" w:rsidR="00A1335E" w:rsidRPr="007B5A34" w:rsidRDefault="00A1335E" w:rsidP="00A1335E">
      <w:pPr>
        <w:jc w:val="both"/>
        <w:rPr>
          <w:rFonts w:cs="Arial"/>
          <w:u w:val="single"/>
        </w:rPr>
      </w:pPr>
      <w:r w:rsidRPr="007B5A34">
        <w:rPr>
          <w:rFonts w:cs="Arial"/>
          <w:u w:val="single"/>
        </w:rPr>
        <w:t>Meeting Housing Needs</w:t>
      </w:r>
    </w:p>
    <w:p w14:paraId="33954904" w14:textId="2D9D244D" w:rsidR="005E53ED" w:rsidRDefault="00E41912" w:rsidP="007220F2">
      <w:pPr>
        <w:pStyle w:val="ListParagraph"/>
        <w:rPr>
          <w:rFonts w:cs="Arial"/>
        </w:rPr>
      </w:pPr>
      <w:r w:rsidRPr="007B5A34">
        <w:rPr>
          <w:rFonts w:cs="Arial"/>
        </w:rPr>
        <w:t>In the 20</w:t>
      </w:r>
      <w:r w:rsidR="007B5A34" w:rsidRPr="007B5A34">
        <w:rPr>
          <w:rFonts w:cs="Arial"/>
        </w:rPr>
        <w:t>19/20</w:t>
      </w:r>
      <w:r w:rsidRPr="007B5A34">
        <w:rPr>
          <w:rFonts w:cs="Arial"/>
        </w:rPr>
        <w:t xml:space="preserve"> monitoring year, </w:t>
      </w:r>
      <w:r w:rsidR="007B5A34" w:rsidRPr="007B5A34">
        <w:rPr>
          <w:rFonts w:cs="Arial"/>
        </w:rPr>
        <w:t>784</w:t>
      </w:r>
      <w:r w:rsidRPr="007B5A34">
        <w:rPr>
          <w:rFonts w:cs="Arial"/>
        </w:rPr>
        <w:t xml:space="preserve"> (net) dwellings were completed in Oxford. The cumulative number of dwellings completed in the 1</w:t>
      </w:r>
      <w:r w:rsidR="007B5A34" w:rsidRPr="007B5A34">
        <w:rPr>
          <w:rFonts w:cs="Arial"/>
        </w:rPr>
        <w:t>4</w:t>
      </w:r>
      <w:r w:rsidRPr="007B5A34">
        <w:rPr>
          <w:rFonts w:cs="Arial"/>
        </w:rPr>
        <w:t xml:space="preserve"> years since the start of the </w:t>
      </w:r>
      <w:r w:rsidR="00095988">
        <w:rPr>
          <w:rFonts w:cs="Arial"/>
        </w:rPr>
        <w:t xml:space="preserve">Oxford </w:t>
      </w:r>
      <w:r w:rsidRPr="007B5A34">
        <w:rPr>
          <w:rFonts w:cs="Arial"/>
        </w:rPr>
        <w:t>Core Strategy period (2006/07 to 201</w:t>
      </w:r>
      <w:r w:rsidR="007B5A34" w:rsidRPr="007B5A34">
        <w:rPr>
          <w:rFonts w:cs="Arial"/>
        </w:rPr>
        <w:t>9/20</w:t>
      </w:r>
      <w:r w:rsidRPr="007B5A34">
        <w:rPr>
          <w:rFonts w:cs="Arial"/>
        </w:rPr>
        <w:t>) is 5,</w:t>
      </w:r>
      <w:r w:rsidR="003E3616">
        <w:rPr>
          <w:rFonts w:cs="Arial"/>
        </w:rPr>
        <w:t>848</w:t>
      </w:r>
      <w:r w:rsidRPr="007B5A34">
        <w:rPr>
          <w:rFonts w:cs="Arial"/>
        </w:rPr>
        <w:t xml:space="preserve"> (net) with the new ratios for communal accommodation applied.   The cumulative number of </w:t>
      </w:r>
      <w:r w:rsidR="00095988">
        <w:rPr>
          <w:rFonts w:cs="Arial"/>
        </w:rPr>
        <w:t xml:space="preserve">development </w:t>
      </w:r>
      <w:r w:rsidRPr="007B5A34">
        <w:rPr>
          <w:rFonts w:cs="Arial"/>
        </w:rPr>
        <w:t>completions that might have been expected during this period, based on an average annual requirement of 400 homes per year, is 5,</w:t>
      </w:r>
      <w:r w:rsidR="00962343">
        <w:rPr>
          <w:rFonts w:cs="Arial"/>
        </w:rPr>
        <w:t>6</w:t>
      </w:r>
      <w:r w:rsidRPr="007B5A34">
        <w:rPr>
          <w:rFonts w:cs="Arial"/>
        </w:rPr>
        <w:t xml:space="preserve">00 dwellings (net). Figure </w:t>
      </w:r>
      <w:r w:rsidR="00AA4F28">
        <w:rPr>
          <w:rFonts w:cs="Arial"/>
        </w:rPr>
        <w:t>1</w:t>
      </w:r>
      <w:r w:rsidRPr="007B5A34">
        <w:rPr>
          <w:rFonts w:cs="Arial"/>
        </w:rPr>
        <w:t xml:space="preserve"> below shows that the </w:t>
      </w:r>
      <w:r w:rsidR="00095988">
        <w:rPr>
          <w:rFonts w:cs="Arial"/>
        </w:rPr>
        <w:t xml:space="preserve">Oxford </w:t>
      </w:r>
      <w:r w:rsidRPr="007B5A34">
        <w:rPr>
          <w:rFonts w:cs="Arial"/>
        </w:rPr>
        <w:t xml:space="preserve">Core Strategy housing target of 8,000 new homes to 2026 (Policy CS22) </w:t>
      </w:r>
      <w:r w:rsidR="00AA4F28">
        <w:rPr>
          <w:rFonts w:cs="Arial"/>
        </w:rPr>
        <w:t xml:space="preserve">will be met </w:t>
      </w:r>
      <w:r w:rsidRPr="007B5A34">
        <w:rPr>
          <w:rFonts w:cs="Arial"/>
        </w:rPr>
        <w:t>prior to the end of the Core Strategy period</w:t>
      </w:r>
      <w:r w:rsidR="007B5A34" w:rsidRPr="007B5A34">
        <w:rPr>
          <w:rFonts w:cs="Arial"/>
        </w:rPr>
        <w:t xml:space="preserve">. </w:t>
      </w:r>
    </w:p>
    <w:p w14:paraId="395992D7" w14:textId="77777777" w:rsidR="00237D97" w:rsidRDefault="00237D97" w:rsidP="00E22FF7">
      <w:pPr>
        <w:pStyle w:val="ListParagraph"/>
        <w:numPr>
          <w:ilvl w:val="0"/>
          <w:numId w:val="0"/>
        </w:numPr>
        <w:ind w:left="1070"/>
        <w:rPr>
          <w:rFonts w:cs="Arial"/>
        </w:rPr>
      </w:pPr>
    </w:p>
    <w:p w14:paraId="0A9A61F7" w14:textId="0BC9701F" w:rsidR="00A1335E" w:rsidRPr="003128F9" w:rsidRDefault="00237D97" w:rsidP="003128F9">
      <w:pPr>
        <w:pStyle w:val="Caption"/>
        <w:keepNext/>
        <w:rPr>
          <w:b w:val="0"/>
        </w:rPr>
      </w:pPr>
      <w:r>
        <w:rPr>
          <w:noProof/>
        </w:rPr>
        <w:lastRenderedPageBreak/>
        <w:drawing>
          <wp:anchor distT="0" distB="0" distL="114300" distR="114300" simplePos="0" relativeHeight="251658752" behindDoc="1" locked="0" layoutInCell="1" allowOverlap="1" wp14:anchorId="46EB6E44" wp14:editId="40BD6C0C">
            <wp:simplePos x="0" y="0"/>
            <wp:positionH relativeFrom="margin">
              <wp:align>right</wp:align>
            </wp:positionH>
            <wp:positionV relativeFrom="paragraph">
              <wp:posOffset>256688</wp:posOffset>
            </wp:positionV>
            <wp:extent cx="5731510" cy="6029325"/>
            <wp:effectExtent l="0" t="0" r="2540" b="9525"/>
            <wp:wrapTight wrapText="bothSides">
              <wp:wrapPolygon edited="0">
                <wp:start x="0" y="0"/>
                <wp:lineTo x="0" y="21566"/>
                <wp:lineTo x="21538" y="21566"/>
                <wp:lineTo x="21538" y="0"/>
                <wp:lineTo x="0" y="0"/>
              </wp:wrapPolygon>
            </wp:wrapTight>
            <wp:docPr id="454" name="Chart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E53ED">
        <w:t xml:space="preserve">Figure </w:t>
      </w:r>
      <w:r w:rsidR="00482B10">
        <w:rPr>
          <w:noProof/>
        </w:rPr>
        <w:fldChar w:fldCharType="begin"/>
      </w:r>
      <w:r w:rsidR="00482B10">
        <w:rPr>
          <w:noProof/>
        </w:rPr>
        <w:instrText xml:space="preserve"> SEQ Figure \* ARABIC </w:instrText>
      </w:r>
      <w:r w:rsidR="00482B10">
        <w:rPr>
          <w:noProof/>
        </w:rPr>
        <w:fldChar w:fldCharType="separate"/>
      </w:r>
      <w:r w:rsidR="005E53ED">
        <w:rPr>
          <w:noProof/>
        </w:rPr>
        <w:t>1</w:t>
      </w:r>
      <w:r w:rsidR="00482B10">
        <w:rPr>
          <w:noProof/>
        </w:rPr>
        <w:fldChar w:fldCharType="end"/>
      </w:r>
      <w:r w:rsidR="005E53ED" w:rsidRPr="005E53ED">
        <w:t xml:space="preserve"> </w:t>
      </w:r>
      <w:r w:rsidR="005E53ED">
        <w:t xml:space="preserve">- </w:t>
      </w:r>
      <w:r w:rsidR="005E53ED" w:rsidRPr="00E22FF7">
        <w:rPr>
          <w:b w:val="0"/>
        </w:rPr>
        <w:t>Cumulative Requirement and Cumulative Supply to 2026</w:t>
      </w:r>
    </w:p>
    <w:p w14:paraId="5FACEF8F" w14:textId="392BE471" w:rsidR="00A1335E" w:rsidRPr="00415DE6" w:rsidRDefault="00A1335E" w:rsidP="00A1335E">
      <w:pPr>
        <w:rPr>
          <w:rFonts w:cs="Arial"/>
          <w:highlight w:val="yellow"/>
        </w:rPr>
      </w:pPr>
    </w:p>
    <w:p w14:paraId="2488E6C7" w14:textId="77777777" w:rsidR="00496867" w:rsidRDefault="00985AF2" w:rsidP="007220F2">
      <w:pPr>
        <w:pStyle w:val="ListParagraph"/>
        <w:rPr>
          <w:rFonts w:cs="Arial"/>
        </w:rPr>
      </w:pPr>
      <w:r w:rsidRPr="00616F65">
        <w:rPr>
          <w:rFonts w:cs="Arial"/>
        </w:rPr>
        <w:t>The AMR also show</w:t>
      </w:r>
      <w:r w:rsidR="00616F65">
        <w:rPr>
          <w:rFonts w:cs="Arial"/>
        </w:rPr>
        <w:t>s</w:t>
      </w:r>
      <w:r w:rsidRPr="00616F65">
        <w:rPr>
          <w:rFonts w:cs="Arial"/>
        </w:rPr>
        <w:t xml:space="preserve"> that </w:t>
      </w:r>
      <w:r w:rsidR="00A1335E" w:rsidRPr="00616F65">
        <w:rPr>
          <w:rFonts w:cs="Arial"/>
        </w:rPr>
        <w:t>1</w:t>
      </w:r>
      <w:r w:rsidR="00276BD2" w:rsidRPr="00616F65">
        <w:rPr>
          <w:rFonts w:cs="Arial"/>
        </w:rPr>
        <w:t>0</w:t>
      </w:r>
      <w:r w:rsidR="00616F65" w:rsidRPr="00616F65">
        <w:rPr>
          <w:rFonts w:cs="Arial"/>
        </w:rPr>
        <w:t>4</w:t>
      </w:r>
      <w:r w:rsidR="00A1335E" w:rsidRPr="00616F65">
        <w:rPr>
          <w:rFonts w:cs="Arial"/>
        </w:rPr>
        <w:t xml:space="preserve"> affordable dwellings were completed in 20</w:t>
      </w:r>
      <w:r w:rsidR="00263309" w:rsidRPr="00616F65">
        <w:rPr>
          <w:rFonts w:cs="Arial"/>
        </w:rPr>
        <w:t>1</w:t>
      </w:r>
      <w:r w:rsidR="00616F65">
        <w:rPr>
          <w:rFonts w:cs="Arial"/>
        </w:rPr>
        <w:t>9/20</w:t>
      </w:r>
      <w:r w:rsidR="00A1335E" w:rsidRPr="00616F65">
        <w:rPr>
          <w:rFonts w:cs="Arial"/>
        </w:rPr>
        <w:t xml:space="preserve">. The main contributors were </w:t>
      </w:r>
      <w:r w:rsidR="00616F65">
        <w:rPr>
          <w:rFonts w:cs="Arial"/>
        </w:rPr>
        <w:t xml:space="preserve">48 units at the Former Temple </w:t>
      </w:r>
      <w:proofErr w:type="spellStart"/>
      <w:r w:rsidR="00616F65">
        <w:rPr>
          <w:rFonts w:cs="Arial"/>
        </w:rPr>
        <w:t>Cowley</w:t>
      </w:r>
      <w:proofErr w:type="spellEnd"/>
      <w:r w:rsidR="00616F65">
        <w:rPr>
          <w:rFonts w:cs="Arial"/>
        </w:rPr>
        <w:t xml:space="preserve"> Pools and a further 46 affordable social rent units at </w:t>
      </w:r>
      <w:r w:rsidR="00276BD2" w:rsidRPr="00616F65">
        <w:rPr>
          <w:rFonts w:cs="Arial"/>
        </w:rPr>
        <w:t>Barton Park (Phase 1)</w:t>
      </w:r>
      <w:r w:rsidR="00616F65">
        <w:rPr>
          <w:rFonts w:cs="Arial"/>
        </w:rPr>
        <w:t xml:space="preserve">.  </w:t>
      </w:r>
      <w:r w:rsidR="00616F65" w:rsidRPr="005F1833">
        <w:rPr>
          <w:rFonts w:eastAsia="Calibri" w:cs="Calibri"/>
          <w:szCs w:val="22"/>
        </w:rPr>
        <w:t xml:space="preserve">Some of the first affordable units were also completed on developments at Land North of Littlemore Healthcare Trust – 6 units and at the former </w:t>
      </w:r>
      <w:proofErr w:type="spellStart"/>
      <w:r w:rsidR="00616F65" w:rsidRPr="005F1833">
        <w:rPr>
          <w:rFonts w:eastAsia="Calibri" w:cs="Calibri"/>
          <w:szCs w:val="22"/>
        </w:rPr>
        <w:t>Wolvercote</w:t>
      </w:r>
      <w:proofErr w:type="spellEnd"/>
      <w:r w:rsidR="00616F65" w:rsidRPr="005F1833">
        <w:rPr>
          <w:rFonts w:eastAsia="Calibri" w:cs="Calibri"/>
          <w:szCs w:val="22"/>
        </w:rPr>
        <w:t xml:space="preserve"> Paper Mill – 4 units</w:t>
      </w:r>
      <w:r w:rsidR="00616F65">
        <w:rPr>
          <w:rFonts w:eastAsia="Calibri" w:cs="Calibri"/>
          <w:szCs w:val="22"/>
        </w:rPr>
        <w:t xml:space="preserve">. </w:t>
      </w:r>
      <w:r w:rsidR="00276BD2" w:rsidRPr="00616F65">
        <w:rPr>
          <w:rFonts w:cs="Arial"/>
        </w:rPr>
        <w:t xml:space="preserve"> </w:t>
      </w:r>
    </w:p>
    <w:p w14:paraId="7F25FE14" w14:textId="4A71AB43" w:rsidR="00496867" w:rsidRPr="00496867" w:rsidRDefault="00D81D3C" w:rsidP="007220F2">
      <w:pPr>
        <w:pStyle w:val="ListParagraph"/>
        <w:rPr>
          <w:rFonts w:cs="Arial"/>
        </w:rPr>
      </w:pPr>
      <w:r w:rsidRPr="00496867">
        <w:rPr>
          <w:rFonts w:cs="Arial"/>
        </w:rPr>
        <w:t xml:space="preserve">The Council seeks to ensure that the </w:t>
      </w:r>
      <w:r w:rsidRPr="00496867">
        <w:rPr>
          <w:rFonts w:eastAsia="Calibri" w:cs="Calibri"/>
          <w:color w:val="auto"/>
          <w:szCs w:val="22"/>
        </w:rPr>
        <w:t xml:space="preserve">tenure split </w:t>
      </w:r>
      <w:r w:rsidR="00095988">
        <w:rPr>
          <w:rFonts w:eastAsia="Calibri" w:cs="Calibri"/>
          <w:color w:val="auto"/>
          <w:szCs w:val="22"/>
        </w:rPr>
        <w:t>for</w:t>
      </w:r>
      <w:r w:rsidR="00095988" w:rsidRPr="00496867">
        <w:rPr>
          <w:rFonts w:eastAsia="Calibri" w:cs="Calibri"/>
          <w:color w:val="auto"/>
          <w:szCs w:val="22"/>
        </w:rPr>
        <w:t xml:space="preserve"> </w:t>
      </w:r>
      <w:r w:rsidR="00095988">
        <w:rPr>
          <w:rFonts w:eastAsia="Calibri" w:cs="Calibri"/>
          <w:color w:val="auto"/>
          <w:szCs w:val="22"/>
        </w:rPr>
        <w:t xml:space="preserve">new </w:t>
      </w:r>
      <w:r w:rsidRPr="00496867">
        <w:rPr>
          <w:rFonts w:eastAsia="Calibri" w:cs="Calibri"/>
          <w:color w:val="auto"/>
          <w:szCs w:val="22"/>
        </w:rPr>
        <w:t xml:space="preserve">affordable housing </w:t>
      </w:r>
      <w:r w:rsidR="00095988">
        <w:rPr>
          <w:rFonts w:eastAsia="Calibri" w:cs="Calibri"/>
          <w:color w:val="auto"/>
          <w:szCs w:val="22"/>
        </w:rPr>
        <w:t xml:space="preserve">is </w:t>
      </w:r>
      <w:r w:rsidRPr="00496867">
        <w:rPr>
          <w:rFonts w:eastAsia="Calibri" w:cs="Calibri"/>
          <w:color w:val="auto"/>
          <w:szCs w:val="22"/>
        </w:rPr>
        <w:t>at least 80% social rented and up to 20% intermediate (including shared ownership, intermediate rental and affordable rental).</w:t>
      </w:r>
      <w:r w:rsidRPr="00496867">
        <w:rPr>
          <w:rFonts w:eastAsia="Calibri" w:cs="Calibri"/>
          <w:b/>
          <w:color w:val="auto"/>
          <w:szCs w:val="22"/>
        </w:rPr>
        <w:t xml:space="preserve"> </w:t>
      </w:r>
      <w:r w:rsidR="00616F65" w:rsidRPr="00496867">
        <w:rPr>
          <w:rFonts w:eastAsia="Calibri" w:cs="Calibri"/>
          <w:color w:val="auto"/>
          <w:szCs w:val="22"/>
        </w:rPr>
        <w:t>75</w:t>
      </w:r>
      <w:r w:rsidRPr="00496867">
        <w:rPr>
          <w:rFonts w:cs="Arial"/>
        </w:rPr>
        <w:t xml:space="preserve"> of the </w:t>
      </w:r>
      <w:r w:rsidR="00276BD2" w:rsidRPr="00496867">
        <w:rPr>
          <w:rFonts w:cs="Arial"/>
        </w:rPr>
        <w:t>10</w:t>
      </w:r>
      <w:r w:rsidR="00616F65" w:rsidRPr="00496867">
        <w:rPr>
          <w:rFonts w:cs="Arial"/>
        </w:rPr>
        <w:t>4</w:t>
      </w:r>
      <w:r w:rsidRPr="00496867">
        <w:rPr>
          <w:rFonts w:cs="Arial"/>
        </w:rPr>
        <w:t xml:space="preserve"> affordable homes delivered were on a social rent basis meaning in total throughout the monitoring year </w:t>
      </w:r>
      <w:r w:rsidR="00616F65" w:rsidRPr="00496867">
        <w:rPr>
          <w:rFonts w:cs="Arial"/>
        </w:rPr>
        <w:t>72</w:t>
      </w:r>
      <w:r w:rsidRPr="00496867">
        <w:rPr>
          <w:rFonts w:cs="Arial"/>
        </w:rPr>
        <w:t>% of affordable homes delivered were on a social rent basis.</w:t>
      </w:r>
      <w:r w:rsidR="00616F65" w:rsidRPr="00496867">
        <w:rPr>
          <w:rFonts w:cs="Arial"/>
        </w:rPr>
        <w:t xml:space="preserve"> </w:t>
      </w:r>
      <w:r w:rsidRPr="00496867">
        <w:rPr>
          <w:rFonts w:cs="Arial"/>
        </w:rPr>
        <w:t xml:space="preserve"> </w:t>
      </w:r>
      <w:r w:rsidR="00616F65" w:rsidRPr="00496867">
        <w:rPr>
          <w:rFonts w:eastAsia="Calibri" w:cs="Calibri"/>
          <w:szCs w:val="22"/>
        </w:rPr>
        <w:t xml:space="preserve">Although this is below the 80% target for the monitoring year, some of these homes were phased completions on larger sites, which if </w:t>
      </w:r>
      <w:r w:rsidR="00616F65" w:rsidRPr="00496867">
        <w:rPr>
          <w:rFonts w:eastAsia="Calibri" w:cs="Calibri"/>
          <w:szCs w:val="22"/>
        </w:rPr>
        <w:lastRenderedPageBreak/>
        <w:t xml:space="preserve">considered on an application-by-application basis met the </w:t>
      </w:r>
      <w:r w:rsidR="00095988">
        <w:rPr>
          <w:rFonts w:eastAsia="Calibri" w:cs="Calibri"/>
          <w:szCs w:val="22"/>
        </w:rPr>
        <w:t xml:space="preserve">aspiration of an </w:t>
      </w:r>
      <w:r w:rsidR="00616F65" w:rsidRPr="00496867">
        <w:rPr>
          <w:rFonts w:eastAsia="Calibri" w:cs="Calibri"/>
          <w:szCs w:val="22"/>
        </w:rPr>
        <w:t xml:space="preserve">80% social rent tenure split. </w:t>
      </w:r>
    </w:p>
    <w:p w14:paraId="50F4D817" w14:textId="4B4AB26D" w:rsidR="008303FE" w:rsidRPr="00496867" w:rsidRDefault="008303FE" w:rsidP="007220F2">
      <w:pPr>
        <w:pStyle w:val="ListParagraph"/>
        <w:rPr>
          <w:rFonts w:cs="Arial"/>
        </w:rPr>
      </w:pPr>
      <w:r w:rsidRPr="00496867">
        <w:rPr>
          <w:rFonts w:eastAsia="Calibri" w:cs="Calibri"/>
          <w:szCs w:val="22"/>
        </w:rPr>
        <w:t>Whilst housing completions are important for considering housing supply and delivery, it is also relevant to consider planning permissions to understand the number of dwellings the Council is permitting</w:t>
      </w:r>
      <w:r w:rsidR="00095988">
        <w:rPr>
          <w:rFonts w:eastAsia="Calibri" w:cs="Calibri"/>
          <w:szCs w:val="22"/>
        </w:rPr>
        <w:t xml:space="preserve"> for development</w:t>
      </w:r>
      <w:r w:rsidRPr="00496867">
        <w:rPr>
          <w:rFonts w:eastAsia="Calibri" w:cs="Calibri"/>
          <w:szCs w:val="22"/>
        </w:rPr>
        <w:t>. In the 201</w:t>
      </w:r>
      <w:r w:rsidR="008B3A83" w:rsidRPr="00496867">
        <w:rPr>
          <w:rFonts w:eastAsia="Calibri" w:cs="Calibri"/>
          <w:szCs w:val="22"/>
        </w:rPr>
        <w:t>9/20</w:t>
      </w:r>
      <w:r w:rsidRPr="00496867">
        <w:rPr>
          <w:rFonts w:eastAsia="Calibri" w:cs="Calibri"/>
          <w:szCs w:val="22"/>
        </w:rPr>
        <w:t xml:space="preserve"> monitoring period the number of C3 residential dwellings permitted by the Council was </w:t>
      </w:r>
      <w:r w:rsidR="008B3A83" w:rsidRPr="00496867">
        <w:rPr>
          <w:rFonts w:eastAsia="Calibri" w:cs="Calibri"/>
          <w:szCs w:val="22"/>
        </w:rPr>
        <w:t xml:space="preserve">277. </w:t>
      </w:r>
      <w:r w:rsidR="00E54D7F" w:rsidRPr="00496867">
        <w:rPr>
          <w:rFonts w:eastAsia="Calibri" w:cs="Calibri"/>
          <w:szCs w:val="22"/>
        </w:rPr>
        <w:t xml:space="preserve">Whilst this does not meet the </w:t>
      </w:r>
      <w:r w:rsidRPr="00496867">
        <w:rPr>
          <w:rFonts w:eastAsia="Calibri" w:cs="Calibri"/>
          <w:szCs w:val="22"/>
        </w:rPr>
        <w:t>Co</w:t>
      </w:r>
      <w:r w:rsidR="00AA4F28" w:rsidRPr="00496867">
        <w:rPr>
          <w:rFonts w:eastAsia="Calibri" w:cs="Calibri"/>
          <w:szCs w:val="22"/>
        </w:rPr>
        <w:t>rp</w:t>
      </w:r>
      <w:r w:rsidR="00962343" w:rsidRPr="00496867">
        <w:rPr>
          <w:rFonts w:eastAsia="Calibri" w:cs="Calibri"/>
          <w:szCs w:val="22"/>
        </w:rPr>
        <w:t>o</w:t>
      </w:r>
      <w:r w:rsidRPr="00496867">
        <w:rPr>
          <w:rFonts w:eastAsia="Calibri" w:cs="Calibri"/>
          <w:szCs w:val="22"/>
        </w:rPr>
        <w:t>rate Plan 2016-2020 target of 400 dwellings per year</w:t>
      </w:r>
      <w:r w:rsidR="00E54D7F" w:rsidRPr="00496867">
        <w:rPr>
          <w:rFonts w:eastAsia="Calibri" w:cs="Calibri"/>
          <w:szCs w:val="22"/>
        </w:rPr>
        <w:t xml:space="preserve">, </w:t>
      </w:r>
      <w:r w:rsidR="00500755" w:rsidRPr="00496867">
        <w:rPr>
          <w:rFonts w:eastAsia="Calibri" w:cs="Calibri"/>
          <w:szCs w:val="22"/>
        </w:rPr>
        <w:t xml:space="preserve">if an average is taken based on the cumulative </w:t>
      </w:r>
      <w:r w:rsidR="00D06EA9" w:rsidRPr="00496867">
        <w:rPr>
          <w:rFonts w:eastAsia="Calibri" w:cs="Calibri"/>
          <w:szCs w:val="22"/>
        </w:rPr>
        <w:t>total of 6,</w:t>
      </w:r>
      <w:r w:rsidR="00962343" w:rsidRPr="00496867">
        <w:rPr>
          <w:rFonts w:eastAsia="Calibri" w:cs="Calibri"/>
          <w:szCs w:val="22"/>
        </w:rPr>
        <w:t>031</w:t>
      </w:r>
      <w:r w:rsidR="00500755" w:rsidRPr="00496867">
        <w:rPr>
          <w:rFonts w:eastAsia="Calibri" w:cs="Calibri"/>
          <w:szCs w:val="22"/>
        </w:rPr>
        <w:t xml:space="preserve"> dwellings being permitted over the 14 year period, it is equivalent to 431 dwellings being permitted each year. </w:t>
      </w:r>
      <w:r w:rsidRPr="00496867">
        <w:rPr>
          <w:rFonts w:eastAsia="Calibri" w:cs="Calibri"/>
          <w:szCs w:val="22"/>
        </w:rPr>
        <w:t xml:space="preserve"> </w:t>
      </w:r>
    </w:p>
    <w:p w14:paraId="31CCFC18" w14:textId="7CE199DC" w:rsidR="00496867" w:rsidRDefault="008303FE" w:rsidP="00496867">
      <w:pPr>
        <w:pStyle w:val="ListParagraph"/>
        <w:rPr>
          <w:rFonts w:eastAsia="Calibri" w:cs="Calibri"/>
          <w:szCs w:val="22"/>
        </w:rPr>
      </w:pPr>
      <w:r w:rsidRPr="00BA3928">
        <w:rPr>
          <w:rFonts w:eastAsia="Calibri" w:cs="Calibri"/>
          <w:szCs w:val="22"/>
        </w:rPr>
        <w:t xml:space="preserve">The Council has also taken the lead in promoting new housing development in </w:t>
      </w:r>
      <w:r w:rsidR="00095988">
        <w:rPr>
          <w:rFonts w:eastAsia="Calibri" w:cs="Calibri"/>
          <w:szCs w:val="22"/>
        </w:rPr>
        <w:t>Oxford</w:t>
      </w:r>
      <w:r w:rsidRPr="00BA3928">
        <w:rPr>
          <w:rFonts w:eastAsia="Calibri" w:cs="Calibri"/>
          <w:szCs w:val="22"/>
        </w:rPr>
        <w:t xml:space="preserve"> through releasing land, securing funding for infrastructure, and working with developers to masterplan new schemes. The Council is directly involved in bringing forward </w:t>
      </w:r>
      <w:r w:rsidR="00BA3928" w:rsidRPr="00BA3928">
        <w:rPr>
          <w:rFonts w:eastAsia="Calibri" w:cs="Calibri"/>
          <w:szCs w:val="22"/>
        </w:rPr>
        <w:t>26</w:t>
      </w:r>
      <w:r w:rsidRPr="00BA3928">
        <w:rPr>
          <w:rFonts w:eastAsia="Calibri" w:cs="Calibri"/>
          <w:szCs w:val="22"/>
        </w:rPr>
        <w:t xml:space="preserve">% of all major housing schemes anticipated to be undertaken in Oxford over the next five years, and has also been involved in bringing forward dozens of smaller development projects across the city. </w:t>
      </w:r>
    </w:p>
    <w:p w14:paraId="32B8E200" w14:textId="75D87D3D" w:rsidR="00F573C0" w:rsidRPr="00496867" w:rsidRDefault="008303FE" w:rsidP="00496867">
      <w:pPr>
        <w:pStyle w:val="ListParagraph"/>
        <w:rPr>
          <w:rFonts w:eastAsia="Calibri" w:cs="Calibri"/>
          <w:szCs w:val="22"/>
        </w:rPr>
      </w:pPr>
      <w:r w:rsidRPr="00496867">
        <w:rPr>
          <w:rFonts w:cs="Arial"/>
        </w:rPr>
        <w:t xml:space="preserve">Regarding housing land supply, </w:t>
      </w:r>
      <w:r w:rsidR="00F573C0" w:rsidRPr="00496867">
        <w:rPr>
          <w:rFonts w:cs="Arial"/>
        </w:rPr>
        <w:t>Paragraph 73 of the N</w:t>
      </w:r>
      <w:r w:rsidR="00095988">
        <w:rPr>
          <w:rFonts w:cs="Arial"/>
        </w:rPr>
        <w:t xml:space="preserve">ational </w:t>
      </w:r>
      <w:r w:rsidR="00F573C0" w:rsidRPr="00496867">
        <w:rPr>
          <w:rFonts w:cs="Arial"/>
        </w:rPr>
        <w:t>P</w:t>
      </w:r>
      <w:r w:rsidR="00095988">
        <w:rPr>
          <w:rFonts w:cs="Arial"/>
        </w:rPr>
        <w:t xml:space="preserve">olicy </w:t>
      </w:r>
      <w:r w:rsidR="00F573C0" w:rsidRPr="00496867">
        <w:rPr>
          <w:rFonts w:cs="Arial"/>
        </w:rPr>
        <w:t>P</w:t>
      </w:r>
      <w:r w:rsidR="00095988">
        <w:rPr>
          <w:rFonts w:cs="Arial"/>
        </w:rPr>
        <w:t xml:space="preserve">lanning </w:t>
      </w:r>
      <w:r w:rsidR="00F573C0" w:rsidRPr="00496867">
        <w:rPr>
          <w:rFonts w:cs="Arial"/>
        </w:rPr>
        <w:t>F</w:t>
      </w:r>
      <w:r w:rsidR="00095988">
        <w:rPr>
          <w:rFonts w:cs="Arial"/>
        </w:rPr>
        <w:t>ramework</w:t>
      </w:r>
      <w:r w:rsidR="00F573C0" w:rsidRPr="00496867">
        <w:rPr>
          <w:rFonts w:cs="Arial"/>
        </w:rPr>
        <w:t xml:space="preserve"> states that local authorities should assess their housing supply against the housing requirement set out in adopted strategic policies, or against their local housing need where these policies are more than 5 years old.  The </w:t>
      </w:r>
      <w:r w:rsidR="00095988">
        <w:rPr>
          <w:rFonts w:cs="Arial"/>
        </w:rPr>
        <w:t xml:space="preserve">Oxford </w:t>
      </w:r>
      <w:r w:rsidR="00F573C0" w:rsidRPr="00496867">
        <w:rPr>
          <w:rFonts w:cs="Arial"/>
        </w:rPr>
        <w:t xml:space="preserve">Core Strategy contains the adopted housing requirement for Oxford, which was adopted in 2011.  This plan is more than 5 years old, and so the Council should not measure its five year housing land supply against this requirement.  </w:t>
      </w:r>
    </w:p>
    <w:p w14:paraId="20F2A9FF" w14:textId="117451C3" w:rsidR="00496867" w:rsidRDefault="00F573C0" w:rsidP="00496867">
      <w:pPr>
        <w:pStyle w:val="ListParagraph"/>
        <w:rPr>
          <w:rFonts w:cs="Arial"/>
        </w:rPr>
      </w:pPr>
      <w:r w:rsidRPr="00F573C0">
        <w:rPr>
          <w:rFonts w:cs="Arial"/>
        </w:rPr>
        <w:t>In December 2019 the new Oxford Local Plan 2036 underwent its examination hearings, and the Inspectors issued their initial findings into the plan in January 2020.  In their interim conclusions, the Inspectors confirmed the housing requirement of 475 homes per annum from 2016/17 to 2020/21, and 567 homes per annum from 2021/22 to 2035/36.  The Council subsequently adopted this Local Plan and its</w:t>
      </w:r>
      <w:r w:rsidR="00496867">
        <w:rPr>
          <w:rFonts w:cs="Arial"/>
        </w:rPr>
        <w:t xml:space="preserve"> new requirement in June 2020.</w:t>
      </w:r>
      <w:r w:rsidR="003E7317">
        <w:rPr>
          <w:rFonts w:cs="Arial"/>
        </w:rPr>
        <w:t xml:space="preserve"> Therefore future AMR’s will use this requirement as the basis for 5 year land supply calculations. </w:t>
      </w:r>
    </w:p>
    <w:p w14:paraId="72CA6A4A" w14:textId="60AB6D4C" w:rsidR="00A1335E" w:rsidRPr="00496867" w:rsidRDefault="00095988" w:rsidP="00496867">
      <w:pPr>
        <w:pStyle w:val="ListParagraph"/>
        <w:rPr>
          <w:rFonts w:cs="Arial"/>
        </w:rPr>
      </w:pPr>
      <w:r>
        <w:rPr>
          <w:rFonts w:eastAsia="Calibri"/>
          <w:szCs w:val="22"/>
        </w:rPr>
        <w:t xml:space="preserve">Oxford </w:t>
      </w:r>
      <w:r w:rsidR="00A1335E" w:rsidRPr="00496867">
        <w:rPr>
          <w:rFonts w:eastAsia="Calibri"/>
          <w:szCs w:val="22"/>
        </w:rPr>
        <w:t>Core</w:t>
      </w:r>
      <w:r w:rsidR="00A1335E" w:rsidRPr="0038265B">
        <w:t xml:space="preserve"> </w:t>
      </w:r>
      <w:r w:rsidR="00A1335E" w:rsidRPr="00496867">
        <w:rPr>
          <w:rFonts w:eastAsia="Calibri"/>
          <w:szCs w:val="22"/>
        </w:rPr>
        <w:t xml:space="preserve">Strategy Policy CS25 requires each university to have no more than 3,000 full-time students living outside of university provided accommodation in Oxford and all increases in academic </w:t>
      </w:r>
      <w:proofErr w:type="spellStart"/>
      <w:r w:rsidR="00A1335E" w:rsidRPr="00496867">
        <w:rPr>
          <w:rFonts w:eastAsia="Calibri"/>
          <w:szCs w:val="22"/>
        </w:rPr>
        <w:t>floorspace</w:t>
      </w:r>
      <w:proofErr w:type="spellEnd"/>
      <w:r w:rsidR="00A1335E" w:rsidRPr="00496867">
        <w:rPr>
          <w:rFonts w:eastAsia="Calibri"/>
          <w:szCs w:val="22"/>
        </w:rPr>
        <w:t xml:space="preserve"> that would facilitate an increase in student numbers at the two </w:t>
      </w:r>
      <w:r>
        <w:rPr>
          <w:rFonts w:eastAsia="Calibri"/>
          <w:szCs w:val="22"/>
        </w:rPr>
        <w:t>u</w:t>
      </w:r>
      <w:r w:rsidR="00A1335E" w:rsidRPr="00496867">
        <w:rPr>
          <w:rFonts w:eastAsia="Calibri"/>
          <w:szCs w:val="22"/>
        </w:rPr>
        <w:t xml:space="preserve">niversities should be matched by an equivalent increase in </w:t>
      </w:r>
      <w:r w:rsidR="0078727A">
        <w:rPr>
          <w:rFonts w:eastAsia="Calibri"/>
          <w:szCs w:val="22"/>
        </w:rPr>
        <w:t>university provided/</w:t>
      </w:r>
      <w:r w:rsidR="00215E5F">
        <w:rPr>
          <w:rFonts w:eastAsia="Calibri"/>
          <w:szCs w:val="22"/>
        </w:rPr>
        <w:t xml:space="preserve"> </w:t>
      </w:r>
      <w:r>
        <w:rPr>
          <w:rFonts w:eastAsia="Calibri"/>
          <w:szCs w:val="22"/>
        </w:rPr>
        <w:t xml:space="preserve">purpose built  </w:t>
      </w:r>
      <w:r w:rsidR="00A1335E" w:rsidRPr="00496867">
        <w:rPr>
          <w:rFonts w:eastAsia="Calibri"/>
          <w:szCs w:val="22"/>
        </w:rPr>
        <w:t xml:space="preserve">student accommodation. </w:t>
      </w:r>
      <w:r w:rsidR="00F573C0" w:rsidRPr="00496867">
        <w:rPr>
          <w:rFonts w:eastAsia="Calibri"/>
          <w:szCs w:val="22"/>
        </w:rPr>
        <w:t>The University of Oxford has kept within its 3000 threshold however Oxford Brookes University ha</w:t>
      </w:r>
      <w:r>
        <w:rPr>
          <w:rFonts w:eastAsia="Calibri"/>
          <w:szCs w:val="22"/>
        </w:rPr>
        <w:t>s</w:t>
      </w:r>
      <w:r w:rsidR="00F573C0" w:rsidRPr="00496867">
        <w:rPr>
          <w:rFonts w:eastAsia="Calibri"/>
          <w:szCs w:val="22"/>
        </w:rPr>
        <w:t xml:space="preserve"> again exceeded </w:t>
      </w:r>
      <w:r>
        <w:rPr>
          <w:rFonts w:eastAsia="Calibri"/>
          <w:szCs w:val="22"/>
        </w:rPr>
        <w:t>its</w:t>
      </w:r>
      <w:r w:rsidRPr="00496867">
        <w:rPr>
          <w:rFonts w:eastAsia="Calibri"/>
          <w:szCs w:val="22"/>
        </w:rPr>
        <w:t xml:space="preserve"> </w:t>
      </w:r>
      <w:r w:rsidR="00F573C0" w:rsidRPr="00496867">
        <w:rPr>
          <w:rFonts w:eastAsia="Calibri"/>
          <w:szCs w:val="22"/>
        </w:rPr>
        <w:t xml:space="preserve">Core Strategy </w:t>
      </w:r>
      <w:r>
        <w:rPr>
          <w:rFonts w:eastAsia="Calibri"/>
          <w:szCs w:val="22"/>
        </w:rPr>
        <w:t>threshold</w:t>
      </w:r>
      <w:r w:rsidRPr="00496867">
        <w:rPr>
          <w:rFonts w:eastAsia="Calibri"/>
          <w:szCs w:val="22"/>
        </w:rPr>
        <w:t xml:space="preserve"> </w:t>
      </w:r>
      <w:r w:rsidR="00F573C0" w:rsidRPr="00496867">
        <w:rPr>
          <w:rFonts w:eastAsia="Calibri"/>
          <w:szCs w:val="22"/>
        </w:rPr>
        <w:t>in the 2019/20 monitoring year.</w:t>
      </w:r>
      <w:r w:rsidR="00982CA3" w:rsidRPr="00496867">
        <w:rPr>
          <w:rFonts w:eastAsia="Calibri"/>
          <w:szCs w:val="22"/>
        </w:rPr>
        <w:t xml:space="preserve">  </w:t>
      </w:r>
      <w:r w:rsidR="00C85517" w:rsidRPr="00496867">
        <w:rPr>
          <w:rFonts w:eastAsia="Calibri"/>
          <w:szCs w:val="22"/>
        </w:rPr>
        <w:t xml:space="preserve">During the 19/20 monitoring year, </w:t>
      </w:r>
      <w:r w:rsidR="00296FC7" w:rsidRPr="00496867">
        <w:rPr>
          <w:rFonts w:eastAsia="Calibri"/>
          <w:szCs w:val="22"/>
        </w:rPr>
        <w:t>one planning application was granted planning permission for an</w:t>
      </w:r>
      <w:r w:rsidR="00C85517" w:rsidRPr="00496867">
        <w:rPr>
          <w:rFonts w:eastAsia="Calibri"/>
          <w:szCs w:val="22"/>
        </w:rPr>
        <w:t xml:space="preserve"> increase in academic </w:t>
      </w:r>
      <w:proofErr w:type="spellStart"/>
      <w:r w:rsidR="00C85517" w:rsidRPr="00496867">
        <w:rPr>
          <w:rFonts w:eastAsia="Calibri"/>
          <w:szCs w:val="22"/>
        </w:rPr>
        <w:t>floorspace</w:t>
      </w:r>
      <w:proofErr w:type="spellEnd"/>
      <w:r w:rsidR="00C85517" w:rsidRPr="00496867">
        <w:rPr>
          <w:rFonts w:eastAsia="Calibri"/>
          <w:szCs w:val="22"/>
        </w:rPr>
        <w:t>.</w:t>
      </w:r>
      <w:r w:rsidR="00296FC7" w:rsidRPr="00496867">
        <w:rPr>
          <w:rFonts w:eastAsia="Calibri"/>
          <w:szCs w:val="22"/>
        </w:rPr>
        <w:t xml:space="preserve">  The applicant was the University of Oxford</w:t>
      </w:r>
      <w:r w:rsidR="00C85517" w:rsidRPr="00496867">
        <w:rPr>
          <w:rFonts w:eastAsia="Calibri"/>
          <w:szCs w:val="22"/>
        </w:rPr>
        <w:t xml:space="preserve"> </w:t>
      </w:r>
      <w:r w:rsidR="00296FC7" w:rsidRPr="00496867">
        <w:rPr>
          <w:rFonts w:eastAsia="Calibri"/>
          <w:szCs w:val="22"/>
        </w:rPr>
        <w:t xml:space="preserve">and the application involved the conversion, redevelopment and extension of </w:t>
      </w:r>
      <w:proofErr w:type="spellStart"/>
      <w:r w:rsidR="00296FC7" w:rsidRPr="00496867">
        <w:rPr>
          <w:rFonts w:eastAsia="Calibri"/>
          <w:szCs w:val="22"/>
        </w:rPr>
        <w:t>Osney</w:t>
      </w:r>
      <w:proofErr w:type="spellEnd"/>
      <w:r w:rsidR="00296FC7" w:rsidRPr="00496867">
        <w:rPr>
          <w:rFonts w:eastAsia="Calibri"/>
          <w:szCs w:val="22"/>
        </w:rPr>
        <w:t xml:space="preserve"> Power Station to a Centre of Executive Education run by the Said Business School. </w:t>
      </w:r>
    </w:p>
    <w:p w14:paraId="4B8A8349" w14:textId="74ED0439" w:rsidR="00496867" w:rsidRDefault="00A1335E" w:rsidP="00EE7358">
      <w:pPr>
        <w:pStyle w:val="ListParagraph"/>
        <w:spacing w:after="0"/>
        <w:rPr>
          <w:rFonts w:eastAsia="Calibri"/>
          <w:szCs w:val="22"/>
        </w:rPr>
      </w:pPr>
      <w:r w:rsidRPr="003E20C8">
        <w:rPr>
          <w:rFonts w:eastAsia="Calibri"/>
          <w:szCs w:val="22"/>
        </w:rPr>
        <w:t>In 20</w:t>
      </w:r>
      <w:r w:rsidR="00263309" w:rsidRPr="003E20C8">
        <w:rPr>
          <w:rFonts w:eastAsia="Calibri"/>
          <w:szCs w:val="22"/>
        </w:rPr>
        <w:t>1</w:t>
      </w:r>
      <w:r w:rsidR="00F573C0" w:rsidRPr="003E20C8">
        <w:rPr>
          <w:rFonts w:eastAsia="Calibri"/>
          <w:szCs w:val="22"/>
        </w:rPr>
        <w:t>9</w:t>
      </w:r>
      <w:r w:rsidR="00263309" w:rsidRPr="003E20C8">
        <w:rPr>
          <w:rFonts w:eastAsia="Calibri"/>
          <w:szCs w:val="22"/>
        </w:rPr>
        <w:t>/</w:t>
      </w:r>
      <w:r w:rsidR="00F573C0" w:rsidRPr="003E20C8">
        <w:rPr>
          <w:rFonts w:eastAsia="Calibri"/>
          <w:szCs w:val="22"/>
        </w:rPr>
        <w:t>20</w:t>
      </w:r>
      <w:r w:rsidRPr="003E20C8">
        <w:rPr>
          <w:rFonts w:eastAsia="Calibri"/>
          <w:szCs w:val="22"/>
        </w:rPr>
        <w:t xml:space="preserve">, the University of Oxford had </w:t>
      </w:r>
      <w:r w:rsidR="00753949" w:rsidRPr="003E20C8">
        <w:rPr>
          <w:rFonts w:eastAsia="Calibri"/>
          <w:szCs w:val="22"/>
        </w:rPr>
        <w:t>2,</w:t>
      </w:r>
      <w:r w:rsidR="00F573C0" w:rsidRPr="003E20C8">
        <w:rPr>
          <w:rFonts w:eastAsia="Calibri"/>
          <w:szCs w:val="22"/>
        </w:rPr>
        <w:t>114</w:t>
      </w:r>
      <w:r w:rsidRPr="003E20C8">
        <w:rPr>
          <w:rFonts w:eastAsia="Calibri"/>
          <w:szCs w:val="22"/>
        </w:rPr>
        <w:t xml:space="preserve"> students living outside of university provided accommodation in Oxford. Oxford Brookes University had </w:t>
      </w:r>
      <w:r w:rsidR="00DE41E3" w:rsidRPr="003E20C8">
        <w:rPr>
          <w:rFonts w:eastAsia="Calibri"/>
          <w:szCs w:val="22"/>
        </w:rPr>
        <w:t>3,845</w:t>
      </w:r>
      <w:r w:rsidRPr="003E20C8">
        <w:rPr>
          <w:rFonts w:eastAsia="Calibri"/>
          <w:szCs w:val="22"/>
        </w:rPr>
        <w:t xml:space="preserve"> students living outside of university provided accommodation in Oxford </w:t>
      </w:r>
      <w:r w:rsidRPr="003E20C8">
        <w:rPr>
          <w:rFonts w:eastAsia="Calibri"/>
          <w:szCs w:val="22"/>
        </w:rPr>
        <w:lastRenderedPageBreak/>
        <w:t>in 20</w:t>
      </w:r>
      <w:r w:rsidR="00263309" w:rsidRPr="003E20C8">
        <w:rPr>
          <w:rFonts w:eastAsia="Calibri"/>
          <w:szCs w:val="22"/>
        </w:rPr>
        <w:t>1</w:t>
      </w:r>
      <w:r w:rsidR="00DE41E3" w:rsidRPr="003E20C8">
        <w:rPr>
          <w:rFonts w:eastAsia="Calibri"/>
          <w:szCs w:val="22"/>
        </w:rPr>
        <w:t>9/20</w:t>
      </w:r>
      <w:r w:rsidRPr="003E20C8">
        <w:rPr>
          <w:rFonts w:eastAsia="Calibri"/>
          <w:szCs w:val="22"/>
        </w:rPr>
        <w:t xml:space="preserve">, a decrease of </w:t>
      </w:r>
      <w:r w:rsidR="00DE41E3" w:rsidRPr="003E20C8">
        <w:rPr>
          <w:rFonts w:eastAsia="Calibri"/>
          <w:szCs w:val="22"/>
        </w:rPr>
        <w:t>234</w:t>
      </w:r>
      <w:r w:rsidRPr="003E20C8">
        <w:rPr>
          <w:rFonts w:eastAsia="Calibri"/>
          <w:szCs w:val="22"/>
        </w:rPr>
        <w:t xml:space="preserve"> students when compared to the previous monitoring year. This information was provided to the Council in </w:t>
      </w:r>
      <w:r w:rsidR="008F12C4" w:rsidRPr="003E20C8">
        <w:rPr>
          <w:rFonts w:eastAsia="Calibri"/>
          <w:szCs w:val="22"/>
        </w:rPr>
        <w:t>September 20</w:t>
      </w:r>
      <w:r w:rsidR="003E20C8" w:rsidRPr="003E20C8">
        <w:rPr>
          <w:rFonts w:eastAsia="Calibri"/>
          <w:szCs w:val="22"/>
        </w:rPr>
        <w:t>20</w:t>
      </w:r>
      <w:r w:rsidRPr="003E20C8">
        <w:rPr>
          <w:rFonts w:eastAsia="Calibri"/>
          <w:szCs w:val="22"/>
        </w:rPr>
        <w:t xml:space="preserve">. This information would be a key consideration in determining any planning applications for new or redeveloped academic </w:t>
      </w:r>
      <w:proofErr w:type="spellStart"/>
      <w:r w:rsidRPr="003E20C8">
        <w:rPr>
          <w:rFonts w:eastAsia="Calibri"/>
          <w:szCs w:val="22"/>
        </w:rPr>
        <w:t>floorspace</w:t>
      </w:r>
      <w:proofErr w:type="spellEnd"/>
      <w:r w:rsidRPr="003E20C8">
        <w:rPr>
          <w:rFonts w:eastAsia="Calibri"/>
          <w:szCs w:val="22"/>
        </w:rPr>
        <w:t xml:space="preserve"> that may be submitted by the universities. </w:t>
      </w:r>
      <w:r w:rsidR="001B092A">
        <w:rPr>
          <w:rFonts w:eastAsia="Calibri"/>
          <w:szCs w:val="22"/>
        </w:rPr>
        <w:t xml:space="preserve">  New student targets have been adopted in the new Local Plan 2036 and will be reported on in the 2020/21 AMR.</w:t>
      </w:r>
    </w:p>
    <w:p w14:paraId="71650521" w14:textId="77777777" w:rsidR="00496867" w:rsidRPr="00496867" w:rsidRDefault="00496867" w:rsidP="00496867">
      <w:pPr>
        <w:pStyle w:val="ListParagraph"/>
        <w:numPr>
          <w:ilvl w:val="0"/>
          <w:numId w:val="0"/>
        </w:numPr>
        <w:ind w:left="1070"/>
        <w:rPr>
          <w:rFonts w:eastAsia="Calibri"/>
          <w:szCs w:val="22"/>
        </w:rPr>
      </w:pPr>
    </w:p>
    <w:p w14:paraId="5A8A77A7" w14:textId="5C7CBBB1" w:rsidR="00E9254B" w:rsidRPr="00496867" w:rsidRDefault="00A1335E" w:rsidP="00496867">
      <w:pPr>
        <w:pStyle w:val="ListParagraph"/>
        <w:rPr>
          <w:rFonts w:eastAsia="Calibri"/>
          <w:szCs w:val="22"/>
        </w:rPr>
      </w:pPr>
      <w:r w:rsidRPr="00496867">
        <w:rPr>
          <w:rFonts w:eastAsia="Calibri"/>
          <w:szCs w:val="22"/>
        </w:rPr>
        <w:t>In the 20</w:t>
      </w:r>
      <w:r w:rsidR="0081047B" w:rsidRPr="00496867">
        <w:rPr>
          <w:rFonts w:eastAsia="Calibri"/>
          <w:szCs w:val="22"/>
        </w:rPr>
        <w:t xml:space="preserve">19/20 </w:t>
      </w:r>
      <w:r w:rsidRPr="00496867">
        <w:rPr>
          <w:rFonts w:eastAsia="Calibri"/>
          <w:szCs w:val="22"/>
        </w:rPr>
        <w:t xml:space="preserve">monitoring year </w:t>
      </w:r>
      <w:r w:rsidR="00813009" w:rsidRPr="00496867">
        <w:rPr>
          <w:rFonts w:eastAsia="Calibri"/>
          <w:szCs w:val="22"/>
        </w:rPr>
        <w:t>1</w:t>
      </w:r>
      <w:r w:rsidR="0081047B" w:rsidRPr="00496867">
        <w:rPr>
          <w:rFonts w:eastAsia="Calibri"/>
          <w:szCs w:val="22"/>
        </w:rPr>
        <w:t>337</w:t>
      </w:r>
      <w:r w:rsidRPr="00496867">
        <w:rPr>
          <w:rFonts w:eastAsia="Calibri"/>
          <w:szCs w:val="22"/>
        </w:rPr>
        <w:t xml:space="preserve"> (net) units of </w:t>
      </w:r>
      <w:r w:rsidR="0078727A">
        <w:rPr>
          <w:rFonts w:eastAsia="Calibri"/>
          <w:szCs w:val="22"/>
        </w:rPr>
        <w:t>new</w:t>
      </w:r>
      <w:r w:rsidR="00445926">
        <w:rPr>
          <w:rFonts w:eastAsia="Calibri"/>
          <w:szCs w:val="22"/>
        </w:rPr>
        <w:t xml:space="preserve"> purpose built</w:t>
      </w:r>
      <w:r w:rsidR="0078727A">
        <w:rPr>
          <w:rFonts w:eastAsia="Calibri"/>
          <w:szCs w:val="22"/>
        </w:rPr>
        <w:t xml:space="preserve"> </w:t>
      </w:r>
      <w:r w:rsidRPr="00496867">
        <w:rPr>
          <w:rFonts w:eastAsia="Calibri"/>
          <w:szCs w:val="22"/>
        </w:rPr>
        <w:t xml:space="preserve">student accommodation were completed in Oxford. Planning permission was granted for a further </w:t>
      </w:r>
      <w:r w:rsidR="00E9254B" w:rsidRPr="00496867">
        <w:rPr>
          <w:rFonts w:eastAsia="Calibri"/>
          <w:szCs w:val="22"/>
        </w:rPr>
        <w:t>178</w:t>
      </w:r>
      <w:r w:rsidRPr="00496867">
        <w:rPr>
          <w:rFonts w:eastAsia="Calibri"/>
          <w:szCs w:val="22"/>
        </w:rPr>
        <w:t xml:space="preserve"> (net) units of student accommodation in 20</w:t>
      </w:r>
      <w:r w:rsidR="00E9254B" w:rsidRPr="00496867">
        <w:rPr>
          <w:rFonts w:eastAsia="Calibri"/>
          <w:szCs w:val="22"/>
        </w:rPr>
        <w:t>19/20</w:t>
      </w:r>
      <w:r w:rsidRPr="00496867">
        <w:rPr>
          <w:rFonts w:eastAsia="Calibri"/>
          <w:szCs w:val="22"/>
        </w:rPr>
        <w:t xml:space="preserve">. </w:t>
      </w:r>
    </w:p>
    <w:p w14:paraId="35D0D61A" w14:textId="77777777" w:rsidR="00487469" w:rsidRPr="00E9254B" w:rsidRDefault="00487469" w:rsidP="00E9254B">
      <w:pPr>
        <w:spacing w:after="0"/>
        <w:jc w:val="both"/>
        <w:rPr>
          <w:rFonts w:eastAsia="Calibri"/>
          <w:szCs w:val="22"/>
          <w:highlight w:val="yellow"/>
        </w:rPr>
      </w:pPr>
    </w:p>
    <w:p w14:paraId="27B27CFD" w14:textId="77777777" w:rsidR="00487469" w:rsidRPr="00E9254B" w:rsidRDefault="00487469" w:rsidP="00A13F70">
      <w:pPr>
        <w:spacing w:after="0"/>
        <w:jc w:val="both"/>
        <w:rPr>
          <w:rFonts w:eastAsia="Calibri"/>
          <w:b/>
          <w:sz w:val="20"/>
          <w:szCs w:val="22"/>
        </w:rPr>
      </w:pPr>
      <w:r w:rsidRPr="00E9254B">
        <w:rPr>
          <w:rFonts w:eastAsia="Calibri"/>
          <w:b/>
          <w:sz w:val="20"/>
          <w:szCs w:val="22"/>
        </w:rPr>
        <w:t xml:space="preserve">Table 1: Planning permissions </w:t>
      </w:r>
      <w:r w:rsidR="00292CF0" w:rsidRPr="00E9254B">
        <w:rPr>
          <w:rFonts w:eastAsia="Calibri"/>
          <w:b/>
          <w:sz w:val="20"/>
          <w:szCs w:val="22"/>
        </w:rPr>
        <w:t xml:space="preserve">granted </w:t>
      </w:r>
      <w:r w:rsidRPr="00E9254B">
        <w:rPr>
          <w:rFonts w:eastAsia="Calibri"/>
          <w:b/>
          <w:sz w:val="20"/>
          <w:szCs w:val="22"/>
        </w:rPr>
        <w:t>for new student accommodation</w:t>
      </w:r>
    </w:p>
    <w:p w14:paraId="0571ABB6" w14:textId="77777777" w:rsidR="00A13F70" w:rsidRPr="00E9254B" w:rsidRDefault="00A13F70" w:rsidP="00A13F70">
      <w:pPr>
        <w:spacing w:after="0"/>
        <w:jc w:val="both"/>
        <w:rPr>
          <w:rFonts w:eastAsia="Calibri"/>
          <w:b/>
          <w:sz w:val="20"/>
          <w:szCs w:val="22"/>
        </w:rPr>
      </w:pPr>
    </w:p>
    <w:tbl>
      <w:tblPr>
        <w:tblStyle w:val="TableGrid1021"/>
        <w:tblW w:w="0" w:type="auto"/>
        <w:tblInd w:w="44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528"/>
        <w:gridCol w:w="1428"/>
        <w:gridCol w:w="3595"/>
        <w:gridCol w:w="1134"/>
      </w:tblGrid>
      <w:tr w:rsidR="00A13F70" w:rsidRPr="00E9254B" w14:paraId="68A693C1" w14:textId="77777777" w:rsidTr="00E9254B">
        <w:trPr>
          <w:tblHeader/>
        </w:trPr>
        <w:tc>
          <w:tcPr>
            <w:tcW w:w="1528" w:type="dxa"/>
            <w:shd w:val="clear" w:color="auto" w:fill="FDE9D9" w:themeFill="accent6" w:themeFillTint="33"/>
          </w:tcPr>
          <w:p w14:paraId="74D528A0"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Application</w:t>
            </w:r>
          </w:p>
        </w:tc>
        <w:tc>
          <w:tcPr>
            <w:tcW w:w="1428" w:type="dxa"/>
            <w:shd w:val="clear" w:color="auto" w:fill="FDE9D9" w:themeFill="accent6" w:themeFillTint="33"/>
          </w:tcPr>
          <w:p w14:paraId="30847537"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Site</w:t>
            </w:r>
          </w:p>
        </w:tc>
        <w:tc>
          <w:tcPr>
            <w:tcW w:w="3595" w:type="dxa"/>
            <w:shd w:val="clear" w:color="auto" w:fill="FDE9D9" w:themeFill="accent6" w:themeFillTint="33"/>
          </w:tcPr>
          <w:p w14:paraId="649198D1"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Development</w:t>
            </w:r>
          </w:p>
        </w:tc>
        <w:tc>
          <w:tcPr>
            <w:tcW w:w="1134" w:type="dxa"/>
            <w:shd w:val="clear" w:color="auto" w:fill="FDE9D9" w:themeFill="accent6" w:themeFillTint="33"/>
          </w:tcPr>
          <w:p w14:paraId="40A081F6"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Total No. Rooms Net</w:t>
            </w:r>
          </w:p>
        </w:tc>
      </w:tr>
      <w:tr w:rsidR="00E9254B" w:rsidRPr="00415DE6" w14:paraId="37AD66AF" w14:textId="13145025" w:rsidTr="00E9254B">
        <w:tc>
          <w:tcPr>
            <w:tcW w:w="1528" w:type="dxa"/>
          </w:tcPr>
          <w:p w14:paraId="3AC85FA3" w14:textId="77777777" w:rsidR="00E9254B" w:rsidRPr="005F1833" w:rsidRDefault="00E9254B" w:rsidP="00E9254B">
            <w:pPr>
              <w:rPr>
                <w:rFonts w:cs="Calibri"/>
                <w:sz w:val="20"/>
                <w:szCs w:val="20"/>
              </w:rPr>
            </w:pPr>
            <w:r w:rsidRPr="005F1833">
              <w:rPr>
                <w:rFonts w:cs="Calibri"/>
                <w:sz w:val="20"/>
                <w:szCs w:val="20"/>
              </w:rPr>
              <w:t>19/01821/FUL</w:t>
            </w:r>
          </w:p>
          <w:p w14:paraId="318A89D1" w14:textId="260A832D"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3409CA81" w14:textId="77777777" w:rsidR="00E9254B" w:rsidRPr="005F1833" w:rsidRDefault="00E9254B" w:rsidP="00E9254B">
            <w:pPr>
              <w:rPr>
                <w:rFonts w:cs="Calibri"/>
                <w:sz w:val="20"/>
                <w:szCs w:val="20"/>
              </w:rPr>
            </w:pPr>
            <w:r w:rsidRPr="005F1833">
              <w:rPr>
                <w:rFonts w:cs="Calibri"/>
                <w:sz w:val="20"/>
                <w:szCs w:val="20"/>
              </w:rPr>
              <w:t xml:space="preserve">159-161 </w:t>
            </w:r>
            <w:r w:rsidRPr="005F1833">
              <w:rPr>
                <w:rFonts w:cs="Calibri"/>
                <w:sz w:val="20"/>
                <w:szCs w:val="20"/>
              </w:rPr>
              <w:br/>
            </w:r>
            <w:proofErr w:type="spellStart"/>
            <w:r w:rsidRPr="005F1833">
              <w:rPr>
                <w:rFonts w:cs="Calibri"/>
                <w:sz w:val="20"/>
                <w:szCs w:val="20"/>
              </w:rPr>
              <w:t>Cowley</w:t>
            </w:r>
            <w:proofErr w:type="spellEnd"/>
            <w:r w:rsidRPr="005F1833">
              <w:rPr>
                <w:rFonts w:cs="Calibri"/>
                <w:sz w:val="20"/>
                <w:szCs w:val="20"/>
              </w:rPr>
              <w:t xml:space="preserve"> Road</w:t>
            </w:r>
            <w:r w:rsidRPr="005F1833">
              <w:rPr>
                <w:rFonts w:cs="Calibri"/>
                <w:sz w:val="20"/>
                <w:szCs w:val="20"/>
              </w:rPr>
              <w:br/>
              <w:t>Oxford</w:t>
            </w:r>
            <w:r w:rsidRPr="005F1833">
              <w:rPr>
                <w:rFonts w:cs="Calibri"/>
                <w:sz w:val="20"/>
                <w:szCs w:val="20"/>
              </w:rPr>
              <w:br/>
              <w:t>OX4 1UT</w:t>
            </w:r>
          </w:p>
          <w:p w14:paraId="6AD33446" w14:textId="1B360083" w:rsidR="00E9254B" w:rsidRPr="00415DE6" w:rsidRDefault="00E9254B" w:rsidP="00E9254B">
            <w:pPr>
              <w:spacing w:after="0"/>
              <w:rPr>
                <w:rFonts w:ascii="Calibri" w:hAnsi="Calibri" w:cs="Calibri"/>
                <w:sz w:val="20"/>
                <w:szCs w:val="20"/>
                <w:highlight w:val="yellow"/>
              </w:rPr>
            </w:pPr>
          </w:p>
        </w:tc>
        <w:tc>
          <w:tcPr>
            <w:tcW w:w="3595" w:type="dxa"/>
          </w:tcPr>
          <w:p w14:paraId="43893F2A" w14:textId="2085A176" w:rsidR="00E9254B" w:rsidRPr="00415DE6" w:rsidRDefault="00E9254B" w:rsidP="00E9254B">
            <w:pPr>
              <w:rPr>
                <w:rFonts w:ascii="Calibri" w:hAnsi="Calibri" w:cs="Calibri"/>
                <w:sz w:val="20"/>
                <w:szCs w:val="20"/>
                <w:highlight w:val="yellow"/>
              </w:rPr>
            </w:pPr>
            <w:r w:rsidRPr="005F1833">
              <w:rPr>
                <w:rFonts w:cs="Calibri"/>
                <w:sz w:val="20"/>
                <w:szCs w:val="20"/>
              </w:rPr>
              <w:t>Reconfiguration of existing ground floor and part first floor retail unit (Tesco store to remain in situ) with extensions and alterations to existing building to provide 137 units of purpose-built, managed student accommodation with associated management suite and communal facilities at upper levels.</w:t>
            </w:r>
          </w:p>
        </w:tc>
        <w:tc>
          <w:tcPr>
            <w:tcW w:w="1134" w:type="dxa"/>
          </w:tcPr>
          <w:p w14:paraId="594E9B6C" w14:textId="2E252C34"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t>137</w:t>
            </w:r>
          </w:p>
        </w:tc>
      </w:tr>
      <w:tr w:rsidR="00E9254B" w:rsidRPr="00415DE6" w14:paraId="327B370C" w14:textId="355DA872" w:rsidTr="00E9254B">
        <w:tc>
          <w:tcPr>
            <w:tcW w:w="1528" w:type="dxa"/>
          </w:tcPr>
          <w:p w14:paraId="5135BA88" w14:textId="77777777" w:rsidR="00E9254B" w:rsidRPr="005F1833" w:rsidRDefault="00E9254B" w:rsidP="00E9254B">
            <w:pPr>
              <w:jc w:val="both"/>
              <w:rPr>
                <w:rFonts w:cs="Calibri"/>
                <w:sz w:val="20"/>
                <w:szCs w:val="20"/>
              </w:rPr>
            </w:pPr>
            <w:r w:rsidRPr="005F1833">
              <w:rPr>
                <w:rFonts w:cs="Calibri"/>
                <w:sz w:val="20"/>
                <w:szCs w:val="20"/>
              </w:rPr>
              <w:t>18/03254/OUT</w:t>
            </w:r>
          </w:p>
          <w:p w14:paraId="3D20758E" w14:textId="677FB002"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1541DACF" w14:textId="77777777" w:rsidR="00E9254B" w:rsidRPr="005F1833" w:rsidRDefault="00E9254B" w:rsidP="00E9254B">
            <w:pPr>
              <w:rPr>
                <w:rFonts w:cs="Calibri"/>
                <w:sz w:val="20"/>
                <w:szCs w:val="20"/>
              </w:rPr>
            </w:pPr>
            <w:r w:rsidRPr="005F1833">
              <w:rPr>
                <w:rFonts w:cs="Calibri"/>
                <w:sz w:val="20"/>
                <w:szCs w:val="20"/>
              </w:rPr>
              <w:t xml:space="preserve">263 </w:t>
            </w:r>
            <w:proofErr w:type="spellStart"/>
            <w:r w:rsidRPr="005F1833">
              <w:rPr>
                <w:rFonts w:cs="Calibri"/>
                <w:sz w:val="20"/>
                <w:szCs w:val="20"/>
              </w:rPr>
              <w:t>Iffley</w:t>
            </w:r>
            <w:proofErr w:type="spellEnd"/>
            <w:r w:rsidRPr="005F1833">
              <w:rPr>
                <w:rFonts w:cs="Calibri"/>
                <w:sz w:val="20"/>
                <w:szCs w:val="20"/>
              </w:rPr>
              <w:t xml:space="preserve"> Road</w:t>
            </w:r>
            <w:r w:rsidRPr="005F1833">
              <w:rPr>
                <w:rFonts w:cs="Calibri"/>
                <w:sz w:val="20"/>
                <w:szCs w:val="20"/>
              </w:rPr>
              <w:br/>
              <w:t>Oxford</w:t>
            </w:r>
            <w:r w:rsidRPr="005F1833">
              <w:rPr>
                <w:rFonts w:cs="Calibri"/>
                <w:sz w:val="20"/>
                <w:szCs w:val="20"/>
              </w:rPr>
              <w:br/>
              <w:t>OX4 1SJ</w:t>
            </w:r>
          </w:p>
          <w:p w14:paraId="4911EC94" w14:textId="6F9DBCBA" w:rsidR="00E9254B" w:rsidRPr="00415DE6" w:rsidRDefault="00E9254B" w:rsidP="00E9254B">
            <w:pPr>
              <w:spacing w:after="0"/>
              <w:rPr>
                <w:rFonts w:ascii="Calibri" w:hAnsi="Calibri" w:cs="Calibri"/>
                <w:sz w:val="20"/>
                <w:szCs w:val="20"/>
                <w:highlight w:val="yellow"/>
              </w:rPr>
            </w:pPr>
          </w:p>
        </w:tc>
        <w:tc>
          <w:tcPr>
            <w:tcW w:w="3595" w:type="dxa"/>
          </w:tcPr>
          <w:p w14:paraId="1A740427" w14:textId="77777777" w:rsidR="00E9254B" w:rsidRPr="005F1833" w:rsidRDefault="00E9254B" w:rsidP="00E9254B">
            <w:pPr>
              <w:rPr>
                <w:rFonts w:cs="Calibri"/>
                <w:sz w:val="20"/>
                <w:szCs w:val="20"/>
              </w:rPr>
            </w:pPr>
            <w:r w:rsidRPr="005F1833">
              <w:rPr>
                <w:rFonts w:cs="Calibri"/>
                <w:sz w:val="20"/>
                <w:szCs w:val="20"/>
              </w:rPr>
              <w:t xml:space="preserve">Outline application (seeking the approval of access, appearance, layout and scale) for the demolition of single storey building to southeast side of 3 storey building. Construction of new 3 storey above ground building comprising premises for ground floor club D1/D2/social club use class and two upper floors for separate student accommodation. Alterations to layout of retained building and parking areas including relocation of parking to Percy Street only and closure of </w:t>
            </w:r>
            <w:proofErr w:type="spellStart"/>
            <w:r w:rsidRPr="005F1833">
              <w:rPr>
                <w:rFonts w:cs="Calibri"/>
                <w:sz w:val="20"/>
                <w:szCs w:val="20"/>
              </w:rPr>
              <w:t>Iffley</w:t>
            </w:r>
            <w:proofErr w:type="spellEnd"/>
            <w:r w:rsidRPr="005F1833">
              <w:rPr>
                <w:rFonts w:cs="Calibri"/>
                <w:sz w:val="20"/>
                <w:szCs w:val="20"/>
              </w:rPr>
              <w:t xml:space="preserve"> Road vehicle access and landscaping. (Amended Plans)</w:t>
            </w:r>
          </w:p>
          <w:p w14:paraId="4FADBBF6" w14:textId="4381B32F" w:rsidR="00E9254B" w:rsidRPr="00415DE6" w:rsidRDefault="00E9254B" w:rsidP="00E9254B">
            <w:pPr>
              <w:spacing w:after="0"/>
              <w:rPr>
                <w:rFonts w:ascii="Calibri" w:hAnsi="Calibri" w:cs="Calibri"/>
                <w:sz w:val="20"/>
                <w:szCs w:val="20"/>
                <w:highlight w:val="yellow"/>
              </w:rPr>
            </w:pPr>
          </w:p>
        </w:tc>
        <w:tc>
          <w:tcPr>
            <w:tcW w:w="1134" w:type="dxa"/>
          </w:tcPr>
          <w:p w14:paraId="3BAE8D9B" w14:textId="6FD0148C"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t>17</w:t>
            </w:r>
          </w:p>
        </w:tc>
      </w:tr>
      <w:tr w:rsidR="00E9254B" w:rsidRPr="00415DE6" w14:paraId="12D69FB4" w14:textId="44C44FE8" w:rsidTr="00E9254B">
        <w:tc>
          <w:tcPr>
            <w:tcW w:w="1528" w:type="dxa"/>
          </w:tcPr>
          <w:p w14:paraId="71B1468F" w14:textId="77777777" w:rsidR="00E9254B" w:rsidRPr="005F1833" w:rsidRDefault="00E9254B" w:rsidP="00E9254B">
            <w:pPr>
              <w:rPr>
                <w:rFonts w:cs="Calibri"/>
                <w:sz w:val="20"/>
                <w:szCs w:val="20"/>
              </w:rPr>
            </w:pPr>
            <w:r w:rsidRPr="005F1833">
              <w:rPr>
                <w:rFonts w:cs="Calibri"/>
                <w:sz w:val="20"/>
                <w:szCs w:val="20"/>
              </w:rPr>
              <w:t>19/00622/FUL</w:t>
            </w:r>
          </w:p>
          <w:p w14:paraId="3ACF27F7" w14:textId="6821C7E6"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38ECDA5B" w14:textId="77777777" w:rsidR="00E9254B" w:rsidRPr="005F1833" w:rsidRDefault="00E9254B" w:rsidP="00E9254B">
            <w:pPr>
              <w:rPr>
                <w:rFonts w:cs="Calibri"/>
                <w:sz w:val="20"/>
                <w:szCs w:val="20"/>
              </w:rPr>
            </w:pPr>
            <w:r w:rsidRPr="005F1833">
              <w:rPr>
                <w:rFonts w:cs="Calibri"/>
                <w:sz w:val="20"/>
                <w:szCs w:val="20"/>
              </w:rPr>
              <w:t xml:space="preserve">162-164 </w:t>
            </w:r>
            <w:r w:rsidRPr="005F1833">
              <w:rPr>
                <w:rFonts w:cs="Calibri"/>
                <w:sz w:val="20"/>
                <w:szCs w:val="20"/>
              </w:rPr>
              <w:br/>
              <w:t>Hollow Way</w:t>
            </w:r>
            <w:r w:rsidRPr="005F1833">
              <w:rPr>
                <w:rFonts w:cs="Calibri"/>
                <w:sz w:val="20"/>
                <w:szCs w:val="20"/>
              </w:rPr>
              <w:br/>
              <w:t>Oxford</w:t>
            </w:r>
            <w:r w:rsidRPr="005F1833">
              <w:rPr>
                <w:rFonts w:cs="Calibri"/>
                <w:sz w:val="20"/>
                <w:szCs w:val="20"/>
              </w:rPr>
              <w:br/>
              <w:t>OX4 2NL</w:t>
            </w:r>
          </w:p>
          <w:p w14:paraId="177066DF" w14:textId="6FB2B5EC" w:rsidR="00E9254B" w:rsidRPr="00415DE6" w:rsidRDefault="00E9254B" w:rsidP="00E9254B">
            <w:pPr>
              <w:spacing w:after="0"/>
              <w:rPr>
                <w:rFonts w:ascii="Calibri" w:hAnsi="Calibri" w:cs="Calibri"/>
                <w:sz w:val="20"/>
                <w:szCs w:val="20"/>
                <w:highlight w:val="yellow"/>
              </w:rPr>
            </w:pPr>
          </w:p>
        </w:tc>
        <w:tc>
          <w:tcPr>
            <w:tcW w:w="3595" w:type="dxa"/>
            <w:vAlign w:val="center"/>
          </w:tcPr>
          <w:p w14:paraId="71819904" w14:textId="77777777" w:rsidR="00E9254B" w:rsidRPr="005F1833" w:rsidRDefault="00E9254B" w:rsidP="00E9254B">
            <w:pPr>
              <w:rPr>
                <w:rFonts w:cs="Calibri"/>
                <w:sz w:val="20"/>
                <w:szCs w:val="20"/>
              </w:rPr>
            </w:pPr>
            <w:r w:rsidRPr="005F1833">
              <w:rPr>
                <w:rFonts w:cs="Calibri"/>
                <w:sz w:val="20"/>
                <w:szCs w:val="20"/>
              </w:rPr>
              <w:t xml:space="preserve">Construction of 16 student </w:t>
            </w:r>
            <w:proofErr w:type="spellStart"/>
            <w:r w:rsidRPr="005F1833">
              <w:rPr>
                <w:rFonts w:cs="Calibri"/>
                <w:sz w:val="20"/>
                <w:szCs w:val="20"/>
              </w:rPr>
              <w:t>En</w:t>
            </w:r>
            <w:proofErr w:type="spellEnd"/>
            <w:r w:rsidRPr="005F1833">
              <w:rPr>
                <w:rFonts w:cs="Calibri"/>
                <w:sz w:val="20"/>
                <w:szCs w:val="20"/>
              </w:rPr>
              <w:t xml:space="preserve">-Suite study rooms, 3 postgraduate </w:t>
            </w:r>
            <w:proofErr w:type="spellStart"/>
            <w:r w:rsidRPr="005F1833">
              <w:rPr>
                <w:rFonts w:cs="Calibri"/>
                <w:sz w:val="20"/>
                <w:szCs w:val="20"/>
              </w:rPr>
              <w:t>En</w:t>
            </w:r>
            <w:proofErr w:type="spellEnd"/>
            <w:r w:rsidRPr="005F1833">
              <w:rPr>
                <w:rFonts w:cs="Calibri"/>
                <w:sz w:val="20"/>
                <w:szCs w:val="20"/>
              </w:rPr>
              <w:t>-Suite study rooms, with communal living/kitchen areas and 1 warden flat. Onsite covered refuse storage and covered/secured cycle parking for 22 cycles.</w:t>
            </w:r>
          </w:p>
          <w:p w14:paraId="50610364" w14:textId="0E7212BA" w:rsidR="00E9254B" w:rsidRPr="00415DE6" w:rsidRDefault="00E9254B" w:rsidP="00E9254B">
            <w:pPr>
              <w:spacing w:after="0"/>
              <w:rPr>
                <w:rFonts w:ascii="Calibri" w:hAnsi="Calibri" w:cs="Calibri"/>
                <w:sz w:val="20"/>
                <w:szCs w:val="20"/>
                <w:highlight w:val="yellow"/>
              </w:rPr>
            </w:pPr>
          </w:p>
        </w:tc>
        <w:tc>
          <w:tcPr>
            <w:tcW w:w="1134" w:type="dxa"/>
          </w:tcPr>
          <w:p w14:paraId="2452AD7F" w14:textId="13D824FE"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t>20</w:t>
            </w:r>
          </w:p>
        </w:tc>
      </w:tr>
      <w:tr w:rsidR="00E9254B" w:rsidRPr="00415DE6" w14:paraId="184939CA" w14:textId="5AB74499" w:rsidTr="00E9254B">
        <w:tc>
          <w:tcPr>
            <w:tcW w:w="1528" w:type="dxa"/>
          </w:tcPr>
          <w:p w14:paraId="0E754637" w14:textId="77777777" w:rsidR="00E9254B" w:rsidRPr="005F1833" w:rsidRDefault="00E9254B" w:rsidP="00E9254B">
            <w:pPr>
              <w:rPr>
                <w:rFonts w:cs="Calibri"/>
                <w:sz w:val="20"/>
                <w:szCs w:val="20"/>
              </w:rPr>
            </w:pPr>
            <w:r w:rsidRPr="005F1833">
              <w:rPr>
                <w:rFonts w:cs="Calibri"/>
                <w:sz w:val="20"/>
                <w:szCs w:val="20"/>
              </w:rPr>
              <w:t>19/00437/FUL</w:t>
            </w:r>
          </w:p>
          <w:p w14:paraId="71FD3BFA" w14:textId="33453DE0"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4413776F" w14:textId="77777777" w:rsidR="00E9254B" w:rsidRPr="005F1833" w:rsidRDefault="00E9254B" w:rsidP="00E9254B">
            <w:pPr>
              <w:rPr>
                <w:rFonts w:cs="Calibri"/>
                <w:sz w:val="20"/>
                <w:szCs w:val="20"/>
              </w:rPr>
            </w:pPr>
            <w:r w:rsidRPr="005F1833">
              <w:rPr>
                <w:rFonts w:cs="Calibri"/>
                <w:sz w:val="20"/>
                <w:szCs w:val="20"/>
              </w:rPr>
              <w:t>32 St Giles'</w:t>
            </w:r>
            <w:r w:rsidRPr="005F1833">
              <w:rPr>
                <w:rFonts w:cs="Calibri"/>
                <w:sz w:val="20"/>
                <w:szCs w:val="20"/>
              </w:rPr>
              <w:br/>
              <w:t>Oxford</w:t>
            </w:r>
            <w:r w:rsidRPr="005F1833">
              <w:rPr>
                <w:rFonts w:cs="Calibri"/>
                <w:sz w:val="20"/>
                <w:szCs w:val="20"/>
              </w:rPr>
              <w:br/>
              <w:t>OX1 3ND</w:t>
            </w:r>
          </w:p>
          <w:p w14:paraId="710B018C" w14:textId="59354CF4" w:rsidR="00E9254B" w:rsidRPr="00415DE6" w:rsidRDefault="00E9254B" w:rsidP="00E9254B">
            <w:pPr>
              <w:spacing w:after="0"/>
              <w:rPr>
                <w:rFonts w:ascii="Calibri" w:hAnsi="Calibri" w:cs="Calibri"/>
                <w:sz w:val="20"/>
                <w:szCs w:val="20"/>
                <w:highlight w:val="yellow"/>
              </w:rPr>
            </w:pPr>
          </w:p>
        </w:tc>
        <w:tc>
          <w:tcPr>
            <w:tcW w:w="3595" w:type="dxa"/>
          </w:tcPr>
          <w:p w14:paraId="39D9B3CB" w14:textId="77777777" w:rsidR="00E9254B" w:rsidRPr="005F1833" w:rsidRDefault="00E9254B" w:rsidP="00E9254B">
            <w:pPr>
              <w:rPr>
                <w:rFonts w:cs="Calibri"/>
                <w:sz w:val="20"/>
                <w:szCs w:val="20"/>
              </w:rPr>
            </w:pPr>
            <w:r w:rsidRPr="005F1833">
              <w:rPr>
                <w:rFonts w:cs="Calibri"/>
                <w:sz w:val="20"/>
                <w:szCs w:val="20"/>
              </w:rPr>
              <w:t xml:space="preserve">Change of use of a bank (Use Class A2) with ancillary residential unit on third floor to a mixed use comprising retail unit (Use Class A1) on the ground floor and monastic, university hall and administration spaces (Use Class Sui Generis) on the ground </w:t>
            </w:r>
            <w:r w:rsidRPr="005F1833">
              <w:rPr>
                <w:rFonts w:cs="Calibri"/>
                <w:sz w:val="20"/>
                <w:szCs w:val="20"/>
              </w:rPr>
              <w:lastRenderedPageBreak/>
              <w:t xml:space="preserve">floor, first and second floors and student accommodation (Use Class Sui Generis) on the third floor.  Associated external alterations including changes to windows and doors to the rear and northern side elevations, replacement timber sash windows throughout and 4no. </w:t>
            </w:r>
            <w:proofErr w:type="gramStart"/>
            <w:r w:rsidRPr="005F1833">
              <w:rPr>
                <w:rFonts w:cs="Calibri"/>
                <w:sz w:val="20"/>
                <w:szCs w:val="20"/>
              </w:rPr>
              <w:t>air</w:t>
            </w:r>
            <w:proofErr w:type="gramEnd"/>
            <w:r w:rsidRPr="005F1833">
              <w:rPr>
                <w:rFonts w:cs="Calibri"/>
                <w:sz w:val="20"/>
                <w:szCs w:val="20"/>
              </w:rPr>
              <w:t xml:space="preserve"> conditioning units to the rear (amended plans).</w:t>
            </w:r>
          </w:p>
          <w:p w14:paraId="31B9B226" w14:textId="15CC8456" w:rsidR="00E9254B" w:rsidRPr="00415DE6" w:rsidRDefault="00E9254B" w:rsidP="00E9254B">
            <w:pPr>
              <w:spacing w:after="0"/>
              <w:rPr>
                <w:rFonts w:ascii="Calibri" w:hAnsi="Calibri" w:cs="Calibri"/>
                <w:sz w:val="18"/>
                <w:szCs w:val="18"/>
                <w:highlight w:val="yellow"/>
              </w:rPr>
            </w:pPr>
          </w:p>
        </w:tc>
        <w:tc>
          <w:tcPr>
            <w:tcW w:w="1134" w:type="dxa"/>
          </w:tcPr>
          <w:p w14:paraId="1D106040" w14:textId="6FD33DBF"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lastRenderedPageBreak/>
              <w:t>4</w:t>
            </w:r>
          </w:p>
        </w:tc>
      </w:tr>
    </w:tbl>
    <w:p w14:paraId="7F01C946" w14:textId="3D951B1E" w:rsidR="00A1335E" w:rsidRPr="00415DE6" w:rsidRDefault="00A1335E" w:rsidP="00A1335E">
      <w:pPr>
        <w:spacing w:after="0"/>
        <w:ind w:left="426" w:hanging="426"/>
        <w:jc w:val="both"/>
        <w:rPr>
          <w:rFonts w:eastAsia="Calibri"/>
          <w:szCs w:val="22"/>
          <w:highlight w:val="yellow"/>
        </w:rPr>
      </w:pPr>
    </w:p>
    <w:p w14:paraId="029377B2" w14:textId="1C3E2BA3" w:rsidR="00A1335E" w:rsidRPr="00E9254B" w:rsidRDefault="00A1335E" w:rsidP="00A1335E">
      <w:pPr>
        <w:spacing w:after="0"/>
        <w:ind w:left="426" w:hanging="426"/>
        <w:jc w:val="both"/>
        <w:rPr>
          <w:rFonts w:eastAsia="Calibri"/>
          <w:szCs w:val="22"/>
        </w:rPr>
      </w:pPr>
    </w:p>
    <w:p w14:paraId="6E63A57A" w14:textId="5B1731CA" w:rsidR="00A1335E" w:rsidRPr="00E9254B" w:rsidRDefault="00A1335E" w:rsidP="00EE7358">
      <w:pPr>
        <w:pStyle w:val="ListParagraph"/>
        <w:rPr>
          <w:rFonts w:eastAsia="Calibri"/>
          <w:szCs w:val="22"/>
        </w:rPr>
      </w:pPr>
      <w:r w:rsidRPr="00E9254B">
        <w:rPr>
          <w:rFonts w:eastAsia="Calibri"/>
          <w:szCs w:val="22"/>
        </w:rPr>
        <w:t>In 20</w:t>
      </w:r>
      <w:r w:rsidR="00E9254B" w:rsidRPr="00E9254B">
        <w:rPr>
          <w:rFonts w:eastAsia="Calibri"/>
          <w:szCs w:val="22"/>
        </w:rPr>
        <w:t>19/20</w:t>
      </w:r>
      <w:r w:rsidRPr="00E9254B">
        <w:rPr>
          <w:rFonts w:eastAsia="Calibri"/>
          <w:szCs w:val="22"/>
        </w:rPr>
        <w:t xml:space="preserve"> the Council only granted planning permission for additional purpose-built student accommodation on sites that meet the locational requirements of the Sites and Housing Plan</w:t>
      </w:r>
      <w:r w:rsidR="004A75E3">
        <w:rPr>
          <w:rFonts w:eastAsia="Calibri"/>
          <w:szCs w:val="22"/>
        </w:rPr>
        <w:t xml:space="preserve"> 2011-2026</w:t>
      </w:r>
      <w:r w:rsidRPr="00E9254B">
        <w:rPr>
          <w:rFonts w:eastAsia="Calibri"/>
          <w:szCs w:val="22"/>
        </w:rPr>
        <w:t xml:space="preserve">. </w:t>
      </w:r>
    </w:p>
    <w:p w14:paraId="7FD033E7" w14:textId="77777777" w:rsidR="00A1335E" w:rsidRPr="00B9384B" w:rsidRDefault="00A1335E" w:rsidP="00A1335E">
      <w:pPr>
        <w:jc w:val="both"/>
        <w:rPr>
          <w:rFonts w:eastAsia="Calibri"/>
          <w:szCs w:val="22"/>
          <w:u w:val="single"/>
        </w:rPr>
      </w:pPr>
      <w:r w:rsidRPr="00B9384B">
        <w:rPr>
          <w:rFonts w:eastAsia="Calibri"/>
          <w:szCs w:val="22"/>
          <w:u w:val="single"/>
        </w:rPr>
        <w:t>Strong and Active Communities</w:t>
      </w:r>
    </w:p>
    <w:p w14:paraId="71641C20" w14:textId="207F9C40" w:rsidR="00A1335E" w:rsidRPr="00B9384B" w:rsidRDefault="00A1335E" w:rsidP="00EE7358">
      <w:pPr>
        <w:pStyle w:val="ListParagraph"/>
        <w:rPr>
          <w:rFonts w:eastAsia="Calibri"/>
          <w:szCs w:val="22"/>
        </w:rPr>
      </w:pPr>
      <w:r w:rsidRPr="00B9384B">
        <w:rPr>
          <w:rFonts w:eastAsia="Calibri"/>
          <w:szCs w:val="22"/>
        </w:rPr>
        <w:t>S</w:t>
      </w:r>
      <w:r w:rsidRPr="00B9384B">
        <w:rPr>
          <w:rFonts w:eastAsia="Calibri" w:cs="Arial"/>
        </w:rPr>
        <w:t>ignificant progress has been made towards delivering new homes at Barton Park</w:t>
      </w:r>
      <w:r w:rsidR="00B9384B" w:rsidRPr="00B9384B">
        <w:rPr>
          <w:rFonts w:eastAsia="Calibri" w:cs="Arial"/>
        </w:rPr>
        <w:t xml:space="preserve"> with the completion of 178 Phase 1 units. </w:t>
      </w:r>
      <w:r w:rsidR="00487469" w:rsidRPr="00B9384B">
        <w:rPr>
          <w:rFonts w:eastAsia="Calibri" w:cs="Arial"/>
        </w:rPr>
        <w:t xml:space="preserve"> </w:t>
      </w:r>
    </w:p>
    <w:p w14:paraId="51915379" w14:textId="5C8B660C" w:rsidR="00496867" w:rsidRDefault="00B9384B" w:rsidP="00EE7358">
      <w:pPr>
        <w:pStyle w:val="ListParagraph"/>
        <w:spacing w:after="200" w:line="276" w:lineRule="auto"/>
        <w:rPr>
          <w:rFonts w:eastAsia="Calibri"/>
          <w:szCs w:val="22"/>
        </w:rPr>
      </w:pPr>
      <w:r w:rsidRPr="00B9384B">
        <w:rPr>
          <w:rFonts w:eastAsia="Calibri"/>
          <w:szCs w:val="22"/>
        </w:rPr>
        <w:t xml:space="preserve">During the monitoring year, </w:t>
      </w:r>
      <w:r w:rsidR="004D6264">
        <w:rPr>
          <w:rFonts w:eastAsia="Calibri"/>
          <w:szCs w:val="22"/>
        </w:rPr>
        <w:t xml:space="preserve">the West Area </w:t>
      </w:r>
      <w:r w:rsidRPr="00B9384B">
        <w:rPr>
          <w:rFonts w:eastAsia="Calibri"/>
          <w:szCs w:val="22"/>
        </w:rPr>
        <w:t>Planning Committee resolved to grant planning permission</w:t>
      </w:r>
      <w:r w:rsidR="004D6264">
        <w:rPr>
          <w:rFonts w:eastAsia="Calibri"/>
          <w:szCs w:val="22"/>
        </w:rPr>
        <w:t>,</w:t>
      </w:r>
      <w:r w:rsidRPr="00B9384B">
        <w:rPr>
          <w:rFonts w:eastAsia="Calibri"/>
          <w:szCs w:val="22"/>
        </w:rPr>
        <w:t xml:space="preserve"> </w:t>
      </w:r>
      <w:r>
        <w:rPr>
          <w:rFonts w:eastAsia="Calibri"/>
          <w:szCs w:val="22"/>
        </w:rPr>
        <w:t>subject to completion of a legal agreement</w:t>
      </w:r>
      <w:r w:rsidR="004D6264">
        <w:rPr>
          <w:rFonts w:eastAsia="Calibri"/>
          <w:szCs w:val="22"/>
        </w:rPr>
        <w:t>,</w:t>
      </w:r>
      <w:r>
        <w:rPr>
          <w:rFonts w:eastAsia="Calibri"/>
          <w:szCs w:val="22"/>
        </w:rPr>
        <w:t xml:space="preserve"> </w:t>
      </w:r>
      <w:r w:rsidRPr="00B9384B">
        <w:rPr>
          <w:rFonts w:eastAsia="Calibri"/>
          <w:szCs w:val="22"/>
        </w:rPr>
        <w:t xml:space="preserve">for </w:t>
      </w:r>
      <w:r w:rsidR="004D6264">
        <w:rPr>
          <w:rFonts w:eastAsia="Calibri"/>
          <w:szCs w:val="22"/>
        </w:rPr>
        <w:t>a</w:t>
      </w:r>
      <w:r w:rsidR="004D6264" w:rsidRPr="00B9384B">
        <w:rPr>
          <w:rFonts w:eastAsia="Calibri"/>
          <w:szCs w:val="22"/>
        </w:rPr>
        <w:t xml:space="preserve"> </w:t>
      </w:r>
      <w:r w:rsidRPr="00B9384B">
        <w:rPr>
          <w:rFonts w:eastAsia="Calibri"/>
          <w:szCs w:val="22"/>
        </w:rPr>
        <w:t xml:space="preserve">hybrid planning application at </w:t>
      </w:r>
      <w:r w:rsidR="004D6264">
        <w:rPr>
          <w:rFonts w:eastAsia="Calibri"/>
          <w:szCs w:val="22"/>
        </w:rPr>
        <w:t xml:space="preserve">the </w:t>
      </w:r>
      <w:r w:rsidRPr="00B9384B">
        <w:rPr>
          <w:rFonts w:eastAsia="Calibri"/>
          <w:szCs w:val="22"/>
        </w:rPr>
        <w:t>Oxford North</w:t>
      </w:r>
      <w:r w:rsidR="004D6264">
        <w:rPr>
          <w:rFonts w:eastAsia="Calibri"/>
          <w:szCs w:val="22"/>
        </w:rPr>
        <w:t xml:space="preserve"> </w:t>
      </w:r>
      <w:r w:rsidR="00ED6A1B">
        <w:rPr>
          <w:rFonts w:eastAsia="Calibri"/>
          <w:szCs w:val="22"/>
        </w:rPr>
        <w:t xml:space="preserve">development </w:t>
      </w:r>
      <w:r w:rsidR="004D6264">
        <w:rPr>
          <w:rFonts w:eastAsia="Calibri"/>
          <w:szCs w:val="22"/>
        </w:rPr>
        <w:t>site</w:t>
      </w:r>
      <w:r w:rsidRPr="00B9384B">
        <w:rPr>
          <w:rFonts w:eastAsia="Calibri"/>
          <w:szCs w:val="22"/>
        </w:rPr>
        <w:t xml:space="preserve">.  </w:t>
      </w:r>
    </w:p>
    <w:p w14:paraId="6F93DBD1" w14:textId="42E5890C" w:rsidR="00C930BD" w:rsidRPr="00496867" w:rsidRDefault="00B9384B" w:rsidP="00EE7358">
      <w:pPr>
        <w:pStyle w:val="ListParagraph"/>
        <w:spacing w:after="200" w:line="276" w:lineRule="auto"/>
        <w:rPr>
          <w:rFonts w:eastAsia="Calibri"/>
          <w:szCs w:val="22"/>
        </w:rPr>
      </w:pPr>
      <w:r w:rsidRPr="00496867">
        <w:rPr>
          <w:rFonts w:eastAsia="Calibri"/>
          <w:szCs w:val="22"/>
        </w:rPr>
        <w:t xml:space="preserve">Work </w:t>
      </w:r>
      <w:r w:rsidR="007762AC" w:rsidRPr="00496867">
        <w:rPr>
          <w:rFonts w:eastAsia="Calibri"/>
          <w:szCs w:val="22"/>
        </w:rPr>
        <w:t xml:space="preserve">on bringing forward development at both </w:t>
      </w:r>
      <w:r w:rsidR="00ED6A1B">
        <w:rPr>
          <w:rFonts w:eastAsia="Calibri"/>
          <w:szCs w:val="22"/>
        </w:rPr>
        <w:t xml:space="preserve">the </w:t>
      </w:r>
      <w:proofErr w:type="spellStart"/>
      <w:r w:rsidRPr="00496867">
        <w:rPr>
          <w:rFonts w:eastAsia="Calibri"/>
          <w:szCs w:val="22"/>
        </w:rPr>
        <w:t>Oxpens</w:t>
      </w:r>
      <w:proofErr w:type="spellEnd"/>
      <w:r w:rsidR="007762AC" w:rsidRPr="00496867">
        <w:rPr>
          <w:rFonts w:eastAsia="Calibri"/>
          <w:szCs w:val="22"/>
        </w:rPr>
        <w:t xml:space="preserve"> </w:t>
      </w:r>
      <w:r w:rsidR="00ED6A1B">
        <w:rPr>
          <w:rFonts w:eastAsia="Calibri"/>
          <w:szCs w:val="22"/>
        </w:rPr>
        <w:t xml:space="preserve">development site </w:t>
      </w:r>
      <w:r w:rsidR="007762AC" w:rsidRPr="00496867">
        <w:rPr>
          <w:rFonts w:eastAsia="Calibri"/>
          <w:szCs w:val="22"/>
        </w:rPr>
        <w:t xml:space="preserve">and at the Oxford Rail Station has continued during the monitoring year </w:t>
      </w:r>
      <w:r w:rsidRPr="00496867">
        <w:rPr>
          <w:rFonts w:eastAsia="Calibri"/>
          <w:szCs w:val="22"/>
        </w:rPr>
        <w:t xml:space="preserve">with </w:t>
      </w:r>
      <w:r w:rsidR="00A1335E" w:rsidRPr="00496867">
        <w:rPr>
          <w:rFonts w:eastAsia="Calibri"/>
          <w:szCs w:val="22"/>
        </w:rPr>
        <w:t xml:space="preserve">OXWED </w:t>
      </w:r>
      <w:r w:rsidR="004D6264">
        <w:rPr>
          <w:rFonts w:eastAsia="Calibri"/>
          <w:szCs w:val="22"/>
        </w:rPr>
        <w:t xml:space="preserve">Ltd. </w:t>
      </w:r>
      <w:r w:rsidRPr="00496867">
        <w:rPr>
          <w:rFonts w:eastAsia="Calibri"/>
          <w:szCs w:val="22"/>
        </w:rPr>
        <w:t xml:space="preserve">seeking a </w:t>
      </w:r>
      <w:r w:rsidR="00A1335E" w:rsidRPr="00496867">
        <w:rPr>
          <w:rFonts w:eastAsia="Calibri"/>
          <w:szCs w:val="22"/>
        </w:rPr>
        <w:t>development partner for the wider masterplan area</w:t>
      </w:r>
      <w:r w:rsidR="007762AC" w:rsidRPr="00496867">
        <w:rPr>
          <w:rFonts w:eastAsia="Calibri"/>
          <w:szCs w:val="22"/>
        </w:rPr>
        <w:t xml:space="preserve">, and a review of the Oxford Rail Station Supplementary Planning Document (SPD). </w:t>
      </w:r>
    </w:p>
    <w:p w14:paraId="1664E181" w14:textId="77777777" w:rsidR="00A1335E" w:rsidRPr="00792F28" w:rsidRDefault="00A1335E" w:rsidP="00A1335E">
      <w:pPr>
        <w:jc w:val="both"/>
        <w:rPr>
          <w:rFonts w:eastAsia="Calibri"/>
          <w:szCs w:val="22"/>
          <w:u w:val="single"/>
        </w:rPr>
      </w:pPr>
      <w:r w:rsidRPr="00792F28">
        <w:rPr>
          <w:rFonts w:eastAsia="Calibri"/>
          <w:szCs w:val="22"/>
          <w:u w:val="single"/>
        </w:rPr>
        <w:t>A Clean and Green Oxford</w:t>
      </w:r>
    </w:p>
    <w:p w14:paraId="4100EA5E" w14:textId="21018DBF" w:rsidR="002830EF" w:rsidRPr="002830EF" w:rsidRDefault="00A1335E" w:rsidP="00EE7358">
      <w:pPr>
        <w:pStyle w:val="ListParagraph"/>
        <w:rPr>
          <w:rFonts w:cs="Arial"/>
        </w:rPr>
      </w:pPr>
      <w:r w:rsidRPr="002830EF">
        <w:rPr>
          <w:rFonts w:cs="Arial"/>
        </w:rPr>
        <w:t>Planning policies are continuing to protect and enhance Oxford’s natural environment.</w:t>
      </w:r>
      <w:r w:rsidR="002830EF" w:rsidRPr="002830EF">
        <w:rPr>
          <w:rFonts w:eastAsia="Calibri" w:cs="Calibri"/>
          <w:szCs w:val="22"/>
        </w:rPr>
        <w:t xml:space="preserve"> The council has performed well in safeguarding sites of biodiversity importance within the city boundary, ensuring that there is no overall net loss in the provision of outdoor recreation spaces.</w:t>
      </w:r>
      <w:r w:rsidR="00155C2F">
        <w:rPr>
          <w:rFonts w:eastAsia="Calibri" w:cs="Calibri"/>
          <w:szCs w:val="22"/>
        </w:rPr>
        <w:t xml:space="preserve">  Whilst</w:t>
      </w:r>
      <w:r w:rsidR="00155C2F">
        <w:rPr>
          <w:rFonts w:cs="Arial"/>
        </w:rPr>
        <w:t xml:space="preserve"> there are some indicators that have fallen outside of the </w:t>
      </w:r>
      <w:r w:rsidR="000D7D0B">
        <w:rPr>
          <w:rFonts w:cs="Arial"/>
        </w:rPr>
        <w:t xml:space="preserve">existing </w:t>
      </w:r>
      <w:r w:rsidR="00445926">
        <w:rPr>
          <w:rFonts w:cs="Arial"/>
        </w:rPr>
        <w:t xml:space="preserve">targets the reasons for this </w:t>
      </w:r>
      <w:r w:rsidR="00155C2F">
        <w:rPr>
          <w:rFonts w:cs="Arial"/>
        </w:rPr>
        <w:t xml:space="preserve">are cited and the </w:t>
      </w:r>
      <w:r w:rsidR="002830EF" w:rsidRPr="002830EF">
        <w:rPr>
          <w:rFonts w:eastAsia="Calibri" w:cs="Calibri"/>
          <w:szCs w:val="22"/>
        </w:rPr>
        <w:t>new Local Plan 2036 w</w:t>
      </w:r>
      <w:r w:rsidR="000D7D0B">
        <w:rPr>
          <w:rFonts w:eastAsia="Calibri" w:cs="Calibri"/>
          <w:szCs w:val="22"/>
        </w:rPr>
        <w:t>ill</w:t>
      </w:r>
      <w:r w:rsidR="002830EF" w:rsidRPr="002830EF">
        <w:rPr>
          <w:rFonts w:eastAsia="Calibri" w:cs="Calibri"/>
          <w:szCs w:val="22"/>
        </w:rPr>
        <w:t xml:space="preserve"> introduce a different policy approach based on the Green Infrastructure (GI) methodology, which would provide protection for the majority of existing green spaces in the city.</w:t>
      </w:r>
    </w:p>
    <w:p w14:paraId="7D81EB16" w14:textId="77777777" w:rsidR="00C50136" w:rsidRPr="0081047B" w:rsidRDefault="00C50136" w:rsidP="00FB109F">
      <w:pPr>
        <w:pStyle w:val="ListParagraph"/>
        <w:numPr>
          <w:ilvl w:val="0"/>
          <w:numId w:val="0"/>
        </w:numPr>
        <w:ind w:left="360"/>
        <w:jc w:val="both"/>
        <w:rPr>
          <w:rFonts w:cs="Arial"/>
          <w:highlight w:val="yellow"/>
        </w:rPr>
      </w:pPr>
    </w:p>
    <w:p w14:paraId="7C249550" w14:textId="77777777" w:rsidR="00A1335E" w:rsidRPr="00792F28" w:rsidRDefault="00A1335E" w:rsidP="00A1335E">
      <w:pPr>
        <w:jc w:val="both"/>
        <w:rPr>
          <w:rFonts w:cs="Arial"/>
          <w:u w:val="single"/>
        </w:rPr>
      </w:pPr>
      <w:r w:rsidRPr="00792F28">
        <w:rPr>
          <w:rFonts w:cs="Arial"/>
          <w:u w:val="single"/>
        </w:rPr>
        <w:t>An Effective and Efficient Council</w:t>
      </w:r>
    </w:p>
    <w:p w14:paraId="228114AD" w14:textId="7AC75863" w:rsidR="004509FA" w:rsidRPr="00792F28" w:rsidRDefault="007F3914" w:rsidP="00ED6A1B">
      <w:pPr>
        <w:pStyle w:val="ListParagraph"/>
        <w:rPr>
          <w:rFonts w:cs="Arial"/>
        </w:rPr>
      </w:pPr>
      <w:r w:rsidRPr="00792F28">
        <w:rPr>
          <w:rFonts w:cs="Arial"/>
        </w:rPr>
        <w:t xml:space="preserve">Work on the Oxford Local Plan 2036 continued during </w:t>
      </w:r>
      <w:r w:rsidR="00792F28" w:rsidRPr="00792F28">
        <w:rPr>
          <w:rFonts w:cs="Arial"/>
        </w:rPr>
        <w:t xml:space="preserve">the </w:t>
      </w:r>
      <w:r w:rsidRPr="00792F28">
        <w:rPr>
          <w:rFonts w:cs="Arial"/>
        </w:rPr>
        <w:t>201</w:t>
      </w:r>
      <w:r w:rsidR="00792F28" w:rsidRPr="00792F28">
        <w:rPr>
          <w:rFonts w:cs="Arial"/>
        </w:rPr>
        <w:t>9</w:t>
      </w:r>
      <w:r w:rsidRPr="00792F28">
        <w:rPr>
          <w:rFonts w:cs="Arial"/>
        </w:rPr>
        <w:t>/</w:t>
      </w:r>
      <w:r w:rsidR="00792F28" w:rsidRPr="00792F28">
        <w:rPr>
          <w:rFonts w:cs="Arial"/>
        </w:rPr>
        <w:t xml:space="preserve">20 monitoring year.  The Examination Hearings </w:t>
      </w:r>
      <w:r w:rsidR="00ED6A1B">
        <w:rPr>
          <w:rFonts w:cs="Arial"/>
        </w:rPr>
        <w:t xml:space="preserve">for the plan </w:t>
      </w:r>
      <w:r w:rsidR="00792F28" w:rsidRPr="00792F28">
        <w:rPr>
          <w:rFonts w:cs="Arial"/>
        </w:rPr>
        <w:t xml:space="preserve">took place in December 2019 and consultation on the Main Modifications was published during February and March 2020.  </w:t>
      </w:r>
    </w:p>
    <w:p w14:paraId="4D02F901" w14:textId="03F59FD1" w:rsidR="004509FA" w:rsidRPr="00792F28" w:rsidRDefault="004509FA" w:rsidP="00EE7358">
      <w:pPr>
        <w:pStyle w:val="ListParagraph"/>
        <w:rPr>
          <w:rFonts w:cs="Arial"/>
        </w:rPr>
      </w:pPr>
      <w:r w:rsidRPr="00792F28">
        <w:rPr>
          <w:rFonts w:cs="Arial"/>
        </w:rPr>
        <w:lastRenderedPageBreak/>
        <w:t xml:space="preserve">During the monitoring year the </w:t>
      </w:r>
      <w:r w:rsidR="0081047B" w:rsidRPr="00792F28">
        <w:rPr>
          <w:rFonts w:cs="Arial"/>
        </w:rPr>
        <w:t xml:space="preserve">Examiner’s report of the </w:t>
      </w:r>
      <w:proofErr w:type="spellStart"/>
      <w:r w:rsidR="0081047B" w:rsidRPr="00792F28">
        <w:rPr>
          <w:rFonts w:cs="Arial"/>
        </w:rPr>
        <w:t>Wolvercote</w:t>
      </w:r>
      <w:proofErr w:type="spellEnd"/>
      <w:r w:rsidR="0081047B" w:rsidRPr="00792F28">
        <w:rPr>
          <w:rFonts w:cs="Arial"/>
        </w:rPr>
        <w:t xml:space="preserve"> Neighbourhood Plan was published.  This report recommended a number of modifications in order for the</w:t>
      </w:r>
      <w:r w:rsidR="00ED6A1B">
        <w:rPr>
          <w:rFonts w:cs="Arial"/>
        </w:rPr>
        <w:t xml:space="preserve"> </w:t>
      </w:r>
      <w:proofErr w:type="spellStart"/>
      <w:r w:rsidR="00ED6A1B">
        <w:rPr>
          <w:rFonts w:cs="Arial"/>
        </w:rPr>
        <w:t>Wolvercote</w:t>
      </w:r>
      <w:proofErr w:type="spellEnd"/>
      <w:r w:rsidR="00ED6A1B">
        <w:rPr>
          <w:rFonts w:cs="Arial"/>
        </w:rPr>
        <w:t xml:space="preserve"> Neighbourhood</w:t>
      </w:r>
      <w:r w:rsidR="00ED6A1B" w:rsidRPr="00792F28">
        <w:rPr>
          <w:rFonts w:cs="Arial"/>
        </w:rPr>
        <w:t xml:space="preserve"> Plan</w:t>
      </w:r>
      <w:r w:rsidR="0081047B" w:rsidRPr="00792F28">
        <w:rPr>
          <w:rFonts w:cs="Arial"/>
        </w:rPr>
        <w:t xml:space="preserve"> to meet the ‘basic conditions’ and be able to proceed to </w:t>
      </w:r>
      <w:r w:rsidR="00ED6A1B">
        <w:rPr>
          <w:rFonts w:cs="Arial"/>
        </w:rPr>
        <w:t xml:space="preserve">a </w:t>
      </w:r>
      <w:r w:rsidR="0081047B" w:rsidRPr="00792F28">
        <w:rPr>
          <w:rFonts w:cs="Arial"/>
        </w:rPr>
        <w:t>referendum</w:t>
      </w:r>
      <w:r w:rsidR="00ED6A1B">
        <w:rPr>
          <w:rFonts w:cs="Arial"/>
        </w:rPr>
        <w:t xml:space="preserve"> for adoption</w:t>
      </w:r>
      <w:r w:rsidR="0081047B" w:rsidRPr="00792F28">
        <w:rPr>
          <w:rFonts w:cs="Arial"/>
        </w:rPr>
        <w:t xml:space="preserve">.  The modifications were agreed </w:t>
      </w:r>
      <w:r w:rsidR="00ED6A1B">
        <w:rPr>
          <w:rFonts w:cs="Arial"/>
        </w:rPr>
        <w:t>by the</w:t>
      </w:r>
      <w:r w:rsidR="00ED6A1B" w:rsidRPr="00792F28">
        <w:rPr>
          <w:rFonts w:cs="Arial"/>
        </w:rPr>
        <w:t xml:space="preserve"> </w:t>
      </w:r>
      <w:r w:rsidR="0081047B" w:rsidRPr="00792F28">
        <w:rPr>
          <w:rFonts w:cs="Arial"/>
        </w:rPr>
        <w:t xml:space="preserve">Cabinet in October 2019.  </w:t>
      </w:r>
      <w:r w:rsidR="00ED6A1B">
        <w:rPr>
          <w:rFonts w:cs="Arial"/>
        </w:rPr>
        <w:t>A referendum in respect of the</w:t>
      </w:r>
      <w:r w:rsidR="00ED6A1B" w:rsidRPr="00792F28">
        <w:rPr>
          <w:rFonts w:cs="Arial"/>
        </w:rPr>
        <w:t xml:space="preserve"> </w:t>
      </w:r>
      <w:proofErr w:type="spellStart"/>
      <w:r w:rsidR="0081047B" w:rsidRPr="00792F28">
        <w:rPr>
          <w:rFonts w:cs="Arial"/>
        </w:rPr>
        <w:t>Wolvercote</w:t>
      </w:r>
      <w:proofErr w:type="spellEnd"/>
      <w:r w:rsidR="0081047B" w:rsidRPr="00792F28">
        <w:rPr>
          <w:rFonts w:cs="Arial"/>
        </w:rPr>
        <w:t xml:space="preserve"> Neighbourhood Plan is scheduled to take place in May 2021 following postponement of the May 2020 </w:t>
      </w:r>
      <w:r w:rsidR="00792F28" w:rsidRPr="00792F28">
        <w:rPr>
          <w:rFonts w:cs="Arial"/>
        </w:rPr>
        <w:t>referendum</w:t>
      </w:r>
      <w:r w:rsidR="00792F28">
        <w:rPr>
          <w:rFonts w:cs="Arial"/>
        </w:rPr>
        <w:t xml:space="preserve"> </w:t>
      </w:r>
      <w:r w:rsidR="00ED6A1B">
        <w:rPr>
          <w:rFonts w:cs="Arial"/>
        </w:rPr>
        <w:t xml:space="preserve">as a result of </w:t>
      </w:r>
      <w:r w:rsidR="00792F28">
        <w:rPr>
          <w:rFonts w:cs="Arial"/>
        </w:rPr>
        <w:t>to the</w:t>
      </w:r>
      <w:r w:rsidR="0081047B" w:rsidRPr="00792F28">
        <w:rPr>
          <w:rFonts w:cs="Arial"/>
        </w:rPr>
        <w:t xml:space="preserve"> Covid</w:t>
      </w:r>
      <w:r w:rsidR="00792F28">
        <w:rPr>
          <w:rFonts w:cs="Arial"/>
        </w:rPr>
        <w:t>-</w:t>
      </w:r>
      <w:r w:rsidR="0081047B" w:rsidRPr="00792F28">
        <w:rPr>
          <w:rFonts w:cs="Arial"/>
        </w:rPr>
        <w:t xml:space="preserve">19 pandemic.  </w:t>
      </w:r>
    </w:p>
    <w:p w14:paraId="06177222" w14:textId="22BB0AE3" w:rsidR="00A1335E" w:rsidRPr="0081047B" w:rsidRDefault="00A1335E" w:rsidP="00EE7358">
      <w:pPr>
        <w:pStyle w:val="ListParagraph"/>
        <w:rPr>
          <w:rFonts w:cs="Arial"/>
        </w:rPr>
      </w:pPr>
      <w:r w:rsidRPr="0081047B">
        <w:rPr>
          <w:rFonts w:cs="Arial"/>
        </w:rPr>
        <w:t>CIL receipts for the 20</w:t>
      </w:r>
      <w:r w:rsidR="00697306" w:rsidRPr="0081047B">
        <w:rPr>
          <w:rFonts w:cs="Arial"/>
        </w:rPr>
        <w:t xml:space="preserve">19/20 </w:t>
      </w:r>
      <w:r w:rsidRPr="0081047B">
        <w:rPr>
          <w:rFonts w:cs="Arial"/>
        </w:rPr>
        <w:t>monitoring year</w:t>
      </w:r>
      <w:r w:rsidR="00697306" w:rsidRPr="0081047B">
        <w:rPr>
          <w:rFonts w:cs="Arial"/>
        </w:rPr>
        <w:t xml:space="preserve"> </w:t>
      </w:r>
      <w:r w:rsidRPr="0081047B">
        <w:rPr>
          <w:rFonts w:cs="Arial"/>
        </w:rPr>
        <w:t>totalled £</w:t>
      </w:r>
      <w:r w:rsidR="00697306" w:rsidRPr="0081047B">
        <w:rPr>
          <w:rFonts w:cs="Arial"/>
        </w:rPr>
        <w:t>3,576,276</w:t>
      </w:r>
      <w:r w:rsidRPr="0081047B">
        <w:rPr>
          <w:rFonts w:cs="Arial"/>
        </w:rPr>
        <w:t xml:space="preserve"> whilst expenditure of CIL receipts totalled £1,</w:t>
      </w:r>
      <w:r w:rsidR="00697306" w:rsidRPr="0081047B">
        <w:rPr>
          <w:rFonts w:cs="Arial"/>
        </w:rPr>
        <w:t>670,003</w:t>
      </w:r>
      <w:r w:rsidRPr="0081047B">
        <w:rPr>
          <w:rFonts w:cs="Arial"/>
        </w:rPr>
        <w:t xml:space="preserve"> </w:t>
      </w:r>
    </w:p>
    <w:p w14:paraId="4C8242DD" w14:textId="0100D4D8" w:rsidR="00A1335E" w:rsidRPr="0081047B" w:rsidRDefault="00A1335E" w:rsidP="00EE7358">
      <w:pPr>
        <w:pStyle w:val="ListParagraph"/>
        <w:rPr>
          <w:rFonts w:cs="Arial"/>
        </w:rPr>
      </w:pPr>
      <w:r w:rsidRPr="0081047B">
        <w:rPr>
          <w:rFonts w:cs="Calibri"/>
        </w:rPr>
        <w:t>As of 1 April 20</w:t>
      </w:r>
      <w:r w:rsidR="00B57278" w:rsidRPr="0081047B">
        <w:rPr>
          <w:rFonts w:cs="Calibri"/>
        </w:rPr>
        <w:t>20</w:t>
      </w:r>
      <w:r w:rsidRPr="0081047B">
        <w:rPr>
          <w:rFonts w:cs="Calibri"/>
        </w:rPr>
        <w:t xml:space="preserve"> the Council held </w:t>
      </w:r>
      <w:r w:rsidRPr="0081047B">
        <w:rPr>
          <w:rFonts w:cstheme="minorHAnsi"/>
        </w:rPr>
        <w:t>£</w:t>
      </w:r>
      <w:r w:rsidR="00B57278" w:rsidRPr="0081047B">
        <w:rPr>
          <w:rFonts w:cstheme="minorHAnsi"/>
        </w:rPr>
        <w:t>10,678,570</w:t>
      </w:r>
      <w:r w:rsidRPr="0081047B">
        <w:rPr>
          <w:rFonts w:cstheme="minorHAnsi"/>
        </w:rPr>
        <w:t xml:space="preserve"> </w:t>
      </w:r>
      <w:r w:rsidRPr="0081047B">
        <w:rPr>
          <w:rFonts w:cs="Calibri"/>
        </w:rPr>
        <w:t>of</w:t>
      </w:r>
      <w:r w:rsidR="0081047B">
        <w:rPr>
          <w:rFonts w:cs="Calibri"/>
        </w:rPr>
        <w:t xml:space="preserve"> CIL receipts, whenever collected, which were allocated but not spent during the reported year,</w:t>
      </w:r>
      <w:r w:rsidRPr="0081047B">
        <w:rPr>
          <w:rFonts w:cs="Calibri"/>
          <w:color w:val="auto"/>
        </w:rPr>
        <w:t xml:space="preserve"> </w:t>
      </w:r>
      <w:r w:rsidRPr="0081047B">
        <w:rPr>
          <w:rFonts w:cs="Calibri"/>
        </w:rPr>
        <w:t xml:space="preserve">(subject to Council approval). </w:t>
      </w:r>
    </w:p>
    <w:p w14:paraId="3C4C012F" w14:textId="77777777" w:rsidR="00A1335E" w:rsidRPr="0081047B" w:rsidRDefault="00A1335E" w:rsidP="00A1335E">
      <w:pPr>
        <w:pStyle w:val="ListParagraph"/>
        <w:numPr>
          <w:ilvl w:val="0"/>
          <w:numId w:val="0"/>
        </w:numPr>
        <w:ind w:left="425" w:hanging="425"/>
        <w:jc w:val="both"/>
        <w:rPr>
          <w:rFonts w:cs="Arial"/>
          <w:b/>
          <w:color w:val="auto"/>
        </w:rPr>
      </w:pPr>
      <w:r w:rsidRPr="0081047B">
        <w:rPr>
          <w:rFonts w:cs="Arial"/>
          <w:b/>
          <w:color w:val="auto"/>
        </w:rPr>
        <w:t>Environmental Impact</w:t>
      </w:r>
    </w:p>
    <w:p w14:paraId="4AD64D4D" w14:textId="77777777" w:rsidR="00A1335E" w:rsidRPr="0081047B" w:rsidRDefault="00A1335E" w:rsidP="00EE7358">
      <w:pPr>
        <w:pStyle w:val="ListParagraph"/>
        <w:rPr>
          <w:rFonts w:cs="Arial"/>
        </w:rPr>
      </w:pPr>
      <w:r w:rsidRPr="0081047B">
        <w:rPr>
          <w:rFonts w:cs="Arial"/>
          <w:color w:val="auto"/>
        </w:rPr>
        <w:t>There are no environmental implications arising from this report, however the AMR does report on environmental issues such as biodiversity, energy efficiency and compliance with the Natural Resources Impact Analysis (NRIA) requirements.</w:t>
      </w:r>
    </w:p>
    <w:p w14:paraId="1A606C06" w14:textId="77777777" w:rsidR="00A1335E" w:rsidRPr="00C6548E" w:rsidRDefault="00A1335E" w:rsidP="00A1335E">
      <w:pPr>
        <w:pStyle w:val="Heading1"/>
        <w:jc w:val="both"/>
      </w:pPr>
      <w:r w:rsidRPr="00C6548E">
        <w:t>Financial implications</w:t>
      </w:r>
    </w:p>
    <w:p w14:paraId="001CEEFC" w14:textId="43C26243" w:rsidR="00A1335E" w:rsidRPr="00C6548E" w:rsidRDefault="00A1335E" w:rsidP="00EE7358">
      <w:pPr>
        <w:pStyle w:val="ListParagraph"/>
      </w:pPr>
      <w:r w:rsidRPr="00C6548E">
        <w:t>Th</w:t>
      </w:r>
      <w:r w:rsidRPr="00C6548E">
        <w:rPr>
          <w:rFonts w:cs="Arial"/>
        </w:rPr>
        <w:t>ere are no financial implications arising from this report</w:t>
      </w:r>
      <w:r w:rsidRPr="00C6548E">
        <w:rPr>
          <w:rFonts w:cs="Arial"/>
          <w:color w:val="auto"/>
        </w:rPr>
        <w:t xml:space="preserve">, however the </w:t>
      </w:r>
      <w:r w:rsidR="00B57278" w:rsidRPr="00C6548E">
        <w:rPr>
          <w:rFonts w:cs="Arial"/>
          <w:color w:val="auto"/>
        </w:rPr>
        <w:t>IFS</w:t>
      </w:r>
      <w:r w:rsidRPr="00C6548E">
        <w:rPr>
          <w:rFonts w:cs="Arial"/>
          <w:color w:val="auto"/>
        </w:rPr>
        <w:t xml:space="preserve"> does report on the collection and spending of monies through the Community Infrastructure Levy (CIL) and s106 developer contributions.</w:t>
      </w:r>
    </w:p>
    <w:p w14:paraId="6A7AC3A4" w14:textId="07CF1BBE" w:rsidR="00ED6A1B" w:rsidRPr="00482B10" w:rsidRDefault="00A1335E" w:rsidP="00EE7358">
      <w:pPr>
        <w:rPr>
          <w:b/>
        </w:rPr>
      </w:pPr>
      <w:r w:rsidRPr="00482B10">
        <w:rPr>
          <w:b/>
        </w:rPr>
        <w:t>Legal issues</w:t>
      </w:r>
    </w:p>
    <w:p w14:paraId="0A76008E" w14:textId="2F76B5DF" w:rsidR="00357148" w:rsidRDefault="00A1335E" w:rsidP="00482B10">
      <w:pPr>
        <w:pStyle w:val="ListParagraph"/>
        <w:ind w:left="1134" w:hanging="425"/>
      </w:pPr>
      <w:r w:rsidRPr="00C6548E">
        <w:t>Th</w:t>
      </w:r>
      <w:r w:rsidRPr="00ED6A1B">
        <w:rPr>
          <w:rFonts w:cs="Arial"/>
        </w:rPr>
        <w:t>e preparation and publication of the AMR</w:t>
      </w:r>
      <w:r w:rsidR="00B57278" w:rsidRPr="00ED6A1B">
        <w:rPr>
          <w:rFonts w:cs="Arial"/>
        </w:rPr>
        <w:t xml:space="preserve"> (as set out in Appendix </w:t>
      </w:r>
      <w:r w:rsidR="00EE7358">
        <w:rPr>
          <w:rFonts w:cs="Arial"/>
        </w:rPr>
        <w:t>A</w:t>
      </w:r>
      <w:r w:rsidR="00B57278" w:rsidRPr="00ED6A1B">
        <w:rPr>
          <w:rFonts w:cs="Arial"/>
        </w:rPr>
        <w:t>) and the IFS</w:t>
      </w:r>
      <w:r w:rsidRPr="00ED6A1B">
        <w:rPr>
          <w:rFonts w:cs="Arial"/>
        </w:rPr>
        <w:t xml:space="preserve"> </w:t>
      </w:r>
      <w:r w:rsidR="00EE7358">
        <w:rPr>
          <w:rFonts w:cs="Arial"/>
        </w:rPr>
        <w:t xml:space="preserve">(as set out in Appendix B) </w:t>
      </w:r>
      <w:r w:rsidRPr="00ED6A1B">
        <w:rPr>
          <w:rFonts w:cs="Arial"/>
        </w:rPr>
        <w:t xml:space="preserve">is </w:t>
      </w:r>
      <w:r w:rsidR="00ED6A1B" w:rsidRPr="00ED6A1B">
        <w:rPr>
          <w:rFonts w:cs="Arial"/>
        </w:rPr>
        <w:t xml:space="preserve">required by the </w:t>
      </w:r>
      <w:r w:rsidR="00ED6A1B">
        <w:t>Planning and Compulsory Purchase Act 2004</w:t>
      </w:r>
      <w:r w:rsidR="00193DF7">
        <w:t>.</w:t>
      </w:r>
      <w:r w:rsidR="00ED6A1B">
        <w:t xml:space="preserve"> </w:t>
      </w:r>
      <w:r w:rsidRPr="00ED6A1B">
        <w:rPr>
          <w:rFonts w:cs="Arial"/>
        </w:rPr>
        <w:t xml:space="preserve"> </w:t>
      </w:r>
    </w:p>
    <w:p w14:paraId="31E29AE1" w14:textId="77777777" w:rsidR="00A1335E" w:rsidRPr="00C6548E" w:rsidRDefault="00A1335E" w:rsidP="00A1335E">
      <w:pPr>
        <w:pStyle w:val="Heading1"/>
        <w:jc w:val="both"/>
      </w:pPr>
      <w:r w:rsidRPr="00C6548E">
        <w:t>Level of risk</w:t>
      </w:r>
    </w:p>
    <w:p w14:paraId="5D5C76B0" w14:textId="66A49086" w:rsidR="00A1335E" w:rsidRPr="00C6548E" w:rsidRDefault="00A1335E" w:rsidP="00A1335E">
      <w:pPr>
        <w:pStyle w:val="ListParagraph"/>
        <w:jc w:val="both"/>
      </w:pPr>
      <w:r w:rsidRPr="00C6548E">
        <w:t xml:space="preserve">A risk assessment has been undertaken and the risk register is attached (Appendix </w:t>
      </w:r>
      <w:r w:rsidR="007762AC">
        <w:t>3</w:t>
      </w:r>
      <w:r w:rsidRPr="00C6548E">
        <w:t xml:space="preserve">).  All risks have been mitigated to an acceptable level. </w:t>
      </w:r>
    </w:p>
    <w:p w14:paraId="3F422CAF" w14:textId="77777777" w:rsidR="00A1335E" w:rsidRPr="0081047B" w:rsidRDefault="00A1335E" w:rsidP="00A1335E">
      <w:pPr>
        <w:pStyle w:val="Heading1"/>
        <w:jc w:val="both"/>
      </w:pPr>
      <w:r w:rsidRPr="0081047B">
        <w:t xml:space="preserve">Equalities impact </w:t>
      </w:r>
    </w:p>
    <w:p w14:paraId="68B8FAE1" w14:textId="77777777" w:rsidR="00A1335E" w:rsidRPr="0081047B" w:rsidRDefault="00A1335E" w:rsidP="00A1335E">
      <w:pPr>
        <w:pStyle w:val="ListParagraph"/>
        <w:jc w:val="both"/>
      </w:pPr>
      <w:r w:rsidRPr="0081047B">
        <w:t>There are no equalities impacts arising from this report.</w:t>
      </w:r>
    </w:p>
    <w:p w14:paraId="1B7D8A9E" w14:textId="77777777" w:rsidR="0055762D" w:rsidRPr="0081047B" w:rsidRDefault="0055762D">
      <w:pPr>
        <w:spacing w:after="0"/>
        <w:rPr>
          <w:highlight w:val="yellow"/>
        </w:rPr>
      </w:pPr>
      <w:r w:rsidRPr="0081047B">
        <w:rPr>
          <w:highlight w:val="yellow"/>
        </w:rPr>
        <w:br w:type="page"/>
      </w:r>
    </w:p>
    <w:p w14:paraId="3A3B930F" w14:textId="77777777" w:rsidR="00A1335E" w:rsidRPr="0081047B" w:rsidRDefault="00A1335E" w:rsidP="00A1335E">
      <w:pPr>
        <w:pStyle w:val="ListParagraph"/>
        <w:numPr>
          <w:ilvl w:val="0"/>
          <w:numId w:val="0"/>
        </w:numPr>
        <w:ind w:left="360"/>
        <w:jc w:val="both"/>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81047B" w14:paraId="1E9975C6" w14:textId="77777777" w:rsidTr="002543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A85811D" w14:textId="77777777" w:rsidR="00A1335E" w:rsidRPr="0081047B" w:rsidRDefault="00A1335E" w:rsidP="00254345">
            <w:pPr>
              <w:jc w:val="both"/>
              <w:rPr>
                <w:b/>
              </w:rPr>
            </w:pPr>
            <w:r w:rsidRPr="0081047B">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EB70723" w14:textId="7AC92A50" w:rsidR="00A1335E" w:rsidRPr="0081047B" w:rsidRDefault="00415DE6" w:rsidP="00496867">
            <w:r w:rsidRPr="0081047B">
              <w:t>Rachel Nixon</w:t>
            </w:r>
            <w:r w:rsidR="00B57278" w:rsidRPr="0081047B">
              <w:t>/ Lan Nguyen</w:t>
            </w:r>
          </w:p>
        </w:tc>
      </w:tr>
      <w:tr w:rsidR="00A1335E" w:rsidRPr="0081047B" w14:paraId="0DDAF17D" w14:textId="77777777" w:rsidTr="00254345">
        <w:trPr>
          <w:cantSplit/>
          <w:trHeight w:val="396"/>
        </w:trPr>
        <w:tc>
          <w:tcPr>
            <w:tcW w:w="3969" w:type="dxa"/>
            <w:tcBorders>
              <w:top w:val="single" w:sz="8" w:space="0" w:color="000000"/>
              <w:left w:val="single" w:sz="8" w:space="0" w:color="000000"/>
              <w:bottom w:val="nil"/>
              <w:right w:val="nil"/>
            </w:tcBorders>
            <w:shd w:val="clear" w:color="auto" w:fill="auto"/>
          </w:tcPr>
          <w:p w14:paraId="0047FF48" w14:textId="77777777" w:rsidR="00A1335E" w:rsidRPr="0081047B" w:rsidRDefault="00A1335E" w:rsidP="00254345">
            <w:pPr>
              <w:jc w:val="both"/>
            </w:pPr>
            <w:r w:rsidRPr="0081047B">
              <w:t>Job title</w:t>
            </w:r>
          </w:p>
        </w:tc>
        <w:tc>
          <w:tcPr>
            <w:tcW w:w="4962" w:type="dxa"/>
            <w:tcBorders>
              <w:top w:val="single" w:sz="8" w:space="0" w:color="000000"/>
              <w:left w:val="nil"/>
              <w:bottom w:val="nil"/>
              <w:right w:val="single" w:sz="8" w:space="0" w:color="000000"/>
            </w:tcBorders>
            <w:shd w:val="clear" w:color="auto" w:fill="auto"/>
          </w:tcPr>
          <w:p w14:paraId="49DF0FB5" w14:textId="77777777" w:rsidR="00A1335E" w:rsidRDefault="00366530" w:rsidP="00254345">
            <w:pPr>
              <w:jc w:val="both"/>
            </w:pPr>
            <w:r w:rsidRPr="0081047B">
              <w:t>Senior Planner</w:t>
            </w:r>
            <w:r w:rsidR="00A1335E" w:rsidRPr="0081047B">
              <w:t>, Planning Policy</w:t>
            </w:r>
          </w:p>
          <w:p w14:paraId="6519122B" w14:textId="0D6A604F" w:rsidR="003128F9" w:rsidRPr="0081047B" w:rsidRDefault="003128F9" w:rsidP="00254345">
            <w:pPr>
              <w:jc w:val="both"/>
            </w:pPr>
            <w:r>
              <w:t>Data Analyst, Planning Policy</w:t>
            </w:r>
          </w:p>
        </w:tc>
      </w:tr>
      <w:tr w:rsidR="00A1335E" w:rsidRPr="0081047B" w14:paraId="10C62DC0" w14:textId="77777777" w:rsidTr="00254345">
        <w:trPr>
          <w:cantSplit/>
          <w:trHeight w:val="396"/>
        </w:trPr>
        <w:tc>
          <w:tcPr>
            <w:tcW w:w="3969" w:type="dxa"/>
            <w:tcBorders>
              <w:top w:val="nil"/>
              <w:left w:val="single" w:sz="8" w:space="0" w:color="000000"/>
              <w:bottom w:val="nil"/>
              <w:right w:val="nil"/>
            </w:tcBorders>
            <w:shd w:val="clear" w:color="auto" w:fill="auto"/>
          </w:tcPr>
          <w:p w14:paraId="236EFF8F" w14:textId="77777777" w:rsidR="00A1335E" w:rsidRPr="0081047B" w:rsidRDefault="00A1335E" w:rsidP="00254345">
            <w:pPr>
              <w:jc w:val="both"/>
            </w:pPr>
            <w:r w:rsidRPr="0081047B">
              <w:t>Service area or department</w:t>
            </w:r>
          </w:p>
        </w:tc>
        <w:tc>
          <w:tcPr>
            <w:tcW w:w="4962" w:type="dxa"/>
            <w:tcBorders>
              <w:top w:val="nil"/>
              <w:left w:val="nil"/>
              <w:bottom w:val="nil"/>
              <w:right w:val="single" w:sz="8" w:space="0" w:color="000000"/>
            </w:tcBorders>
            <w:shd w:val="clear" w:color="auto" w:fill="auto"/>
          </w:tcPr>
          <w:p w14:paraId="744EDECC" w14:textId="77777777" w:rsidR="00A1335E" w:rsidRPr="0081047B" w:rsidRDefault="00A1335E" w:rsidP="00267EF3">
            <w:pPr>
              <w:jc w:val="both"/>
            </w:pPr>
            <w:r w:rsidRPr="0081047B">
              <w:t>Planning Policy, Planning Services</w:t>
            </w:r>
          </w:p>
        </w:tc>
      </w:tr>
      <w:tr w:rsidR="00A1335E" w:rsidRPr="0081047B" w14:paraId="3B7F7C5B" w14:textId="77777777" w:rsidTr="00254345">
        <w:trPr>
          <w:cantSplit/>
          <w:trHeight w:val="396"/>
        </w:trPr>
        <w:tc>
          <w:tcPr>
            <w:tcW w:w="3969" w:type="dxa"/>
            <w:tcBorders>
              <w:top w:val="nil"/>
              <w:left w:val="single" w:sz="8" w:space="0" w:color="000000"/>
              <w:bottom w:val="nil"/>
              <w:right w:val="nil"/>
            </w:tcBorders>
            <w:shd w:val="clear" w:color="auto" w:fill="auto"/>
          </w:tcPr>
          <w:p w14:paraId="1DD5D91F" w14:textId="77777777" w:rsidR="00A1335E" w:rsidRPr="0081047B" w:rsidRDefault="00A1335E" w:rsidP="00254345">
            <w:pPr>
              <w:jc w:val="both"/>
            </w:pPr>
            <w:r w:rsidRPr="0081047B">
              <w:t xml:space="preserve">Telephone </w:t>
            </w:r>
          </w:p>
        </w:tc>
        <w:tc>
          <w:tcPr>
            <w:tcW w:w="4962" w:type="dxa"/>
            <w:tcBorders>
              <w:top w:val="nil"/>
              <w:left w:val="nil"/>
              <w:bottom w:val="nil"/>
              <w:right w:val="single" w:sz="8" w:space="0" w:color="000000"/>
            </w:tcBorders>
            <w:shd w:val="clear" w:color="auto" w:fill="auto"/>
          </w:tcPr>
          <w:p w14:paraId="2FF740D8" w14:textId="64BFD4DB" w:rsidR="00A1335E" w:rsidRPr="0081047B" w:rsidRDefault="00A1335E" w:rsidP="00496867">
            <w:r w:rsidRPr="0081047B">
              <w:t xml:space="preserve">01865 </w:t>
            </w:r>
            <w:r w:rsidR="00415DE6" w:rsidRPr="0081047B">
              <w:t>529137</w:t>
            </w:r>
            <w:r w:rsidR="00B57278" w:rsidRPr="0081047B">
              <w:t>/ 252509</w:t>
            </w:r>
          </w:p>
        </w:tc>
      </w:tr>
      <w:tr w:rsidR="00A1335E" w:rsidRPr="0081047B" w14:paraId="24DE3818" w14:textId="77777777" w:rsidTr="00254345">
        <w:trPr>
          <w:cantSplit/>
          <w:trHeight w:val="396"/>
        </w:trPr>
        <w:tc>
          <w:tcPr>
            <w:tcW w:w="3969" w:type="dxa"/>
            <w:tcBorders>
              <w:top w:val="nil"/>
              <w:left w:val="single" w:sz="8" w:space="0" w:color="000000"/>
              <w:bottom w:val="single" w:sz="8" w:space="0" w:color="000000"/>
              <w:right w:val="nil"/>
            </w:tcBorders>
            <w:shd w:val="clear" w:color="auto" w:fill="auto"/>
          </w:tcPr>
          <w:p w14:paraId="24D27964" w14:textId="77777777" w:rsidR="00A1335E" w:rsidRPr="0081047B" w:rsidRDefault="00A1335E" w:rsidP="00254345">
            <w:pPr>
              <w:jc w:val="both"/>
            </w:pPr>
            <w:r w:rsidRPr="0081047B">
              <w:t xml:space="preserve">e-mail </w:t>
            </w:r>
          </w:p>
        </w:tc>
        <w:tc>
          <w:tcPr>
            <w:tcW w:w="4962" w:type="dxa"/>
            <w:tcBorders>
              <w:top w:val="nil"/>
              <w:left w:val="nil"/>
              <w:bottom w:val="single" w:sz="8" w:space="0" w:color="000000"/>
              <w:right w:val="single" w:sz="8" w:space="0" w:color="000000"/>
            </w:tcBorders>
            <w:shd w:val="clear" w:color="auto" w:fill="auto"/>
          </w:tcPr>
          <w:p w14:paraId="3987ABFF" w14:textId="7381D875" w:rsidR="00A1335E" w:rsidRPr="0081047B" w:rsidRDefault="009306FA" w:rsidP="00366530">
            <w:pPr>
              <w:jc w:val="both"/>
              <w:rPr>
                <w:rStyle w:val="Hyperlink"/>
                <w:color w:val="000000"/>
              </w:rPr>
            </w:pPr>
            <w:hyperlink r:id="rId12" w:history="1">
              <w:r w:rsidR="00B57278" w:rsidRPr="0081047B">
                <w:rPr>
                  <w:rStyle w:val="Hyperlink"/>
                </w:rPr>
                <w:t>rnixon@oxford.gov.uk/</w:t>
              </w:r>
            </w:hyperlink>
            <w:r w:rsidR="00B57278" w:rsidRPr="0081047B">
              <w:rPr>
                <w:rStyle w:val="Hyperlink"/>
              </w:rPr>
              <w:t xml:space="preserve"> lnguyen@oxford.gov.uk</w:t>
            </w:r>
            <w:r w:rsidR="00A1335E" w:rsidRPr="0081047B">
              <w:rPr>
                <w:rStyle w:val="Hyperlink"/>
                <w:color w:val="000000"/>
              </w:rPr>
              <w:t xml:space="preserve"> </w:t>
            </w:r>
          </w:p>
        </w:tc>
      </w:tr>
    </w:tbl>
    <w:p w14:paraId="7C1ABE1E" w14:textId="77777777" w:rsidR="00A1335E" w:rsidRPr="0081047B" w:rsidRDefault="00A1335E" w:rsidP="00A1335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81047B" w14:paraId="7871804C" w14:textId="77777777"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14:paraId="28FC7717" w14:textId="77777777" w:rsidR="00A1335E" w:rsidRPr="0081047B" w:rsidRDefault="00A1335E" w:rsidP="00254345">
            <w:pPr>
              <w:jc w:val="both"/>
            </w:pPr>
            <w:r w:rsidRPr="0081047B">
              <w:rPr>
                <w:rStyle w:val="Firstpagetablebold"/>
              </w:rPr>
              <w:t xml:space="preserve">Background Papers: </w:t>
            </w:r>
            <w:r w:rsidRPr="0081047B">
              <w:rPr>
                <w:rStyle w:val="Firstpagetablebold"/>
                <w:b w:val="0"/>
              </w:rPr>
              <w:t>None</w:t>
            </w:r>
          </w:p>
        </w:tc>
      </w:tr>
    </w:tbl>
    <w:p w14:paraId="3553E6BC" w14:textId="77777777" w:rsidR="00A1335E" w:rsidRPr="0081047B" w:rsidRDefault="00A1335E" w:rsidP="00A1335E">
      <w:pPr>
        <w:jc w:val="both"/>
        <w:rPr>
          <w:highlight w:val="yellow"/>
        </w:rPr>
      </w:pPr>
    </w:p>
    <w:p w14:paraId="6EC78F57" w14:textId="77777777" w:rsidR="00A1335E" w:rsidRPr="00774D56" w:rsidRDefault="00A1335E" w:rsidP="00A1335E">
      <w:pPr>
        <w:jc w:val="both"/>
        <w:rPr>
          <w:b/>
        </w:rPr>
      </w:pPr>
      <w:r w:rsidRPr="00774D56">
        <w:rPr>
          <w:b/>
        </w:rPr>
        <w:t>Please note in the table below the version number of your report that was finally cleared at each stage</w:t>
      </w:r>
    </w:p>
    <w:p w14:paraId="78D2DCA9" w14:textId="77777777" w:rsidR="00A1335E" w:rsidRPr="00774D56" w:rsidRDefault="00A1335E" w:rsidP="00A1335E">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A1335E" w:rsidRPr="00774D56" w14:paraId="7018304E" w14:textId="77777777" w:rsidTr="00254345">
        <w:trPr>
          <w:trHeight w:val="409"/>
        </w:trPr>
        <w:tc>
          <w:tcPr>
            <w:tcW w:w="5342" w:type="dxa"/>
            <w:shd w:val="clear" w:color="auto" w:fill="auto"/>
          </w:tcPr>
          <w:p w14:paraId="4C683A80" w14:textId="77777777" w:rsidR="00A1335E" w:rsidRPr="00774D56" w:rsidRDefault="00A1335E" w:rsidP="00254345">
            <w:pPr>
              <w:jc w:val="both"/>
              <w:rPr>
                <w:b/>
              </w:rPr>
            </w:pPr>
            <w:r w:rsidRPr="00774D56">
              <w:rPr>
                <w:b/>
              </w:rPr>
              <w:t>Report Stage</w:t>
            </w:r>
          </w:p>
        </w:tc>
        <w:tc>
          <w:tcPr>
            <w:tcW w:w="2551" w:type="dxa"/>
            <w:shd w:val="clear" w:color="auto" w:fill="auto"/>
          </w:tcPr>
          <w:p w14:paraId="55992B1F" w14:textId="77777777" w:rsidR="00A1335E" w:rsidRPr="00774D56" w:rsidRDefault="00A1335E" w:rsidP="00254345">
            <w:pPr>
              <w:jc w:val="both"/>
              <w:rPr>
                <w:b/>
              </w:rPr>
            </w:pPr>
            <w:r w:rsidRPr="00774D56">
              <w:rPr>
                <w:b/>
              </w:rPr>
              <w:t>Version Number</w:t>
            </w:r>
          </w:p>
        </w:tc>
      </w:tr>
      <w:tr w:rsidR="00A1335E" w:rsidRPr="00774D56" w14:paraId="5157105A" w14:textId="77777777" w:rsidTr="00254345">
        <w:tc>
          <w:tcPr>
            <w:tcW w:w="5342" w:type="dxa"/>
            <w:shd w:val="clear" w:color="auto" w:fill="auto"/>
          </w:tcPr>
          <w:p w14:paraId="6B021DB0" w14:textId="77777777" w:rsidR="00A1335E" w:rsidRPr="00774D56" w:rsidRDefault="00A1335E" w:rsidP="00254345">
            <w:pPr>
              <w:jc w:val="both"/>
            </w:pPr>
            <w:r w:rsidRPr="00774D56">
              <w:rPr>
                <w:b/>
              </w:rPr>
              <w:t>First Draft:</w:t>
            </w:r>
            <w:r w:rsidRPr="00774D56">
              <w:t xml:space="preserve"> </w:t>
            </w:r>
          </w:p>
          <w:p w14:paraId="4B39E4CB" w14:textId="77777777" w:rsidR="00A1335E" w:rsidRPr="00774D56" w:rsidRDefault="00A1335E" w:rsidP="00254345">
            <w:pPr>
              <w:jc w:val="both"/>
            </w:pPr>
            <w:r w:rsidRPr="00774D56">
              <w:rPr>
                <w:i/>
              </w:rPr>
              <w:t>Commissioned and cleared by Director</w:t>
            </w:r>
          </w:p>
        </w:tc>
        <w:tc>
          <w:tcPr>
            <w:tcW w:w="2551" w:type="dxa"/>
            <w:shd w:val="clear" w:color="auto" w:fill="auto"/>
          </w:tcPr>
          <w:p w14:paraId="070B2354" w14:textId="456BD076" w:rsidR="00A1335E" w:rsidRPr="00774D56" w:rsidRDefault="00EE7358" w:rsidP="00254345">
            <w:pPr>
              <w:jc w:val="both"/>
            </w:pPr>
            <w:r>
              <w:t>V1</w:t>
            </w:r>
          </w:p>
        </w:tc>
      </w:tr>
      <w:tr w:rsidR="00A1335E" w:rsidRPr="00774D56" w14:paraId="474EC6C9" w14:textId="77777777" w:rsidTr="00254345">
        <w:tc>
          <w:tcPr>
            <w:tcW w:w="5342" w:type="dxa"/>
            <w:shd w:val="clear" w:color="auto" w:fill="auto"/>
          </w:tcPr>
          <w:p w14:paraId="141B2770" w14:textId="77777777" w:rsidR="00A1335E" w:rsidRPr="00774D56" w:rsidRDefault="00A1335E" w:rsidP="00254345">
            <w:pPr>
              <w:jc w:val="both"/>
              <w:rPr>
                <w:b/>
              </w:rPr>
            </w:pPr>
            <w:r w:rsidRPr="00774D56">
              <w:rPr>
                <w:b/>
              </w:rPr>
              <w:t>Second Draft:</w:t>
            </w:r>
          </w:p>
          <w:p w14:paraId="70C4A5E3" w14:textId="77777777" w:rsidR="00A1335E" w:rsidRPr="00774D56" w:rsidRDefault="00A1335E" w:rsidP="00254345">
            <w:pPr>
              <w:jc w:val="both"/>
              <w:rPr>
                <w:i/>
              </w:rPr>
            </w:pPr>
            <w:r w:rsidRPr="00774D56">
              <w:rPr>
                <w:i/>
              </w:rPr>
              <w:t>Cleared by Legal and Finance</w:t>
            </w:r>
          </w:p>
        </w:tc>
        <w:tc>
          <w:tcPr>
            <w:tcW w:w="2551" w:type="dxa"/>
            <w:shd w:val="clear" w:color="auto" w:fill="auto"/>
          </w:tcPr>
          <w:p w14:paraId="431CEA21" w14:textId="77777777" w:rsidR="00A1335E" w:rsidRPr="00774D56" w:rsidRDefault="00A1335E" w:rsidP="00254345">
            <w:pPr>
              <w:jc w:val="both"/>
            </w:pPr>
          </w:p>
        </w:tc>
      </w:tr>
      <w:tr w:rsidR="00A1335E" w:rsidRPr="00774D56" w14:paraId="21EB9018" w14:textId="77777777" w:rsidTr="00254345">
        <w:tc>
          <w:tcPr>
            <w:tcW w:w="5342" w:type="dxa"/>
            <w:shd w:val="clear" w:color="auto" w:fill="auto"/>
          </w:tcPr>
          <w:p w14:paraId="342CDBD8" w14:textId="77777777" w:rsidR="00A1335E" w:rsidRPr="00774D56" w:rsidRDefault="00A1335E" w:rsidP="00254345">
            <w:pPr>
              <w:jc w:val="both"/>
              <w:rPr>
                <w:b/>
              </w:rPr>
            </w:pPr>
            <w:r w:rsidRPr="00774D56">
              <w:rPr>
                <w:b/>
              </w:rPr>
              <w:t>Organisational Draft:</w:t>
            </w:r>
          </w:p>
          <w:p w14:paraId="37FACA9B" w14:textId="77777777" w:rsidR="00A1335E" w:rsidRPr="00774D56" w:rsidRDefault="00A1335E" w:rsidP="00254345">
            <w:pPr>
              <w:jc w:val="both"/>
              <w:rPr>
                <w:i/>
              </w:rPr>
            </w:pPr>
            <w:r w:rsidRPr="00774D56">
              <w:rPr>
                <w:i/>
              </w:rPr>
              <w:t>Cleared by the Chief Executive</w:t>
            </w:r>
          </w:p>
        </w:tc>
        <w:tc>
          <w:tcPr>
            <w:tcW w:w="2551" w:type="dxa"/>
            <w:shd w:val="clear" w:color="auto" w:fill="auto"/>
          </w:tcPr>
          <w:p w14:paraId="2B3B6DAF" w14:textId="77777777" w:rsidR="00A1335E" w:rsidRPr="00774D56" w:rsidRDefault="00A1335E" w:rsidP="00254345">
            <w:pPr>
              <w:jc w:val="both"/>
            </w:pPr>
          </w:p>
        </w:tc>
      </w:tr>
      <w:tr w:rsidR="00A1335E" w:rsidRPr="00774D56" w14:paraId="0CDCB5C3" w14:textId="77777777" w:rsidTr="00254345">
        <w:tc>
          <w:tcPr>
            <w:tcW w:w="5342" w:type="dxa"/>
            <w:shd w:val="clear" w:color="auto" w:fill="auto"/>
          </w:tcPr>
          <w:p w14:paraId="6503A110" w14:textId="77777777" w:rsidR="00A1335E" w:rsidRPr="00774D56" w:rsidRDefault="00A1335E" w:rsidP="00254345">
            <w:pPr>
              <w:jc w:val="both"/>
              <w:rPr>
                <w:b/>
              </w:rPr>
            </w:pPr>
            <w:r w:rsidRPr="00774D56">
              <w:rPr>
                <w:b/>
              </w:rPr>
              <w:t>Final Draft:</w:t>
            </w:r>
          </w:p>
          <w:p w14:paraId="5746D36E" w14:textId="77777777" w:rsidR="00A1335E" w:rsidRPr="00774D56" w:rsidRDefault="00A1335E" w:rsidP="00254345">
            <w:pPr>
              <w:jc w:val="both"/>
              <w:rPr>
                <w:i/>
              </w:rPr>
            </w:pPr>
            <w:r w:rsidRPr="00774D56">
              <w:rPr>
                <w:i/>
              </w:rPr>
              <w:t>Cleared by the Board Member</w:t>
            </w:r>
          </w:p>
        </w:tc>
        <w:tc>
          <w:tcPr>
            <w:tcW w:w="2551" w:type="dxa"/>
            <w:shd w:val="clear" w:color="auto" w:fill="auto"/>
          </w:tcPr>
          <w:p w14:paraId="5329FD06" w14:textId="77777777" w:rsidR="00A1335E" w:rsidRPr="00774D56" w:rsidRDefault="00A1335E" w:rsidP="00254345">
            <w:pPr>
              <w:jc w:val="both"/>
            </w:pPr>
          </w:p>
        </w:tc>
      </w:tr>
      <w:tr w:rsidR="00A1335E" w14:paraId="6A6A5382" w14:textId="77777777" w:rsidTr="00254345">
        <w:tc>
          <w:tcPr>
            <w:tcW w:w="5342" w:type="dxa"/>
            <w:shd w:val="clear" w:color="auto" w:fill="auto"/>
          </w:tcPr>
          <w:p w14:paraId="0A35A082" w14:textId="77777777" w:rsidR="00A1335E" w:rsidRPr="00774D56" w:rsidRDefault="00A1335E" w:rsidP="00254345">
            <w:pPr>
              <w:jc w:val="both"/>
              <w:rPr>
                <w:b/>
              </w:rPr>
            </w:pPr>
            <w:r w:rsidRPr="00774D56">
              <w:rPr>
                <w:b/>
              </w:rPr>
              <w:t>Final Report:</w:t>
            </w:r>
          </w:p>
          <w:p w14:paraId="465B4436" w14:textId="77777777" w:rsidR="00A1335E" w:rsidRPr="00774D56" w:rsidRDefault="00A1335E" w:rsidP="00254345">
            <w:pPr>
              <w:jc w:val="both"/>
              <w:rPr>
                <w:i/>
              </w:rPr>
            </w:pPr>
            <w:r w:rsidRPr="00774D56">
              <w:rPr>
                <w:i/>
              </w:rPr>
              <w:t>Cleared by Labour Group</w:t>
            </w:r>
          </w:p>
        </w:tc>
        <w:tc>
          <w:tcPr>
            <w:tcW w:w="2551" w:type="dxa"/>
            <w:shd w:val="clear" w:color="auto" w:fill="auto"/>
          </w:tcPr>
          <w:p w14:paraId="3654B32B" w14:textId="77777777" w:rsidR="00A1335E" w:rsidRPr="00774D56" w:rsidRDefault="00A1335E" w:rsidP="00254345">
            <w:pPr>
              <w:jc w:val="both"/>
            </w:pPr>
          </w:p>
        </w:tc>
      </w:tr>
    </w:tbl>
    <w:p w14:paraId="0C1288BB" w14:textId="77777777" w:rsidR="00A1335E" w:rsidRPr="009E51FC" w:rsidRDefault="00A1335E" w:rsidP="00A1335E">
      <w:pPr>
        <w:jc w:val="both"/>
      </w:pPr>
    </w:p>
    <w:p w14:paraId="3E1433FE" w14:textId="77777777" w:rsidR="004456DD" w:rsidRPr="00A1335E" w:rsidRDefault="004456DD" w:rsidP="00A1335E"/>
    <w:sectPr w:rsidR="004456DD" w:rsidRPr="00A1335E"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5013" w14:textId="77777777" w:rsidR="00BD2AFE" w:rsidRDefault="00BD2AFE" w:rsidP="004A6D2F">
      <w:r>
        <w:separator/>
      </w:r>
    </w:p>
  </w:endnote>
  <w:endnote w:type="continuationSeparator" w:id="0">
    <w:p w14:paraId="7C2F1CDC" w14:textId="77777777"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B794" w14:textId="77777777" w:rsidR="00364FAD" w:rsidRDefault="00364FAD" w:rsidP="004A6D2F">
    <w:pPr>
      <w:pStyle w:val="Footer"/>
    </w:pPr>
    <w:r>
      <w:t>Do not use a footer or page numbers.</w:t>
    </w:r>
  </w:p>
  <w:p w14:paraId="7E968F1D" w14:textId="77777777" w:rsidR="00364FAD" w:rsidRDefault="00364FAD" w:rsidP="004A6D2F">
    <w:pPr>
      <w:pStyle w:val="Footer"/>
    </w:pPr>
  </w:p>
  <w:p w14:paraId="70FD508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0B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550D" w14:textId="77777777" w:rsidR="00BD2AFE" w:rsidRDefault="00BD2AFE" w:rsidP="004A6D2F">
      <w:r>
        <w:separator/>
      </w:r>
    </w:p>
  </w:footnote>
  <w:footnote w:type="continuationSeparator" w:id="0">
    <w:p w14:paraId="1C5F1FF3" w14:textId="77777777" w:rsidR="00BD2AFE" w:rsidRDefault="00BD2AF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E637" w14:textId="77777777" w:rsidR="00D5547E" w:rsidRDefault="003E36B5" w:rsidP="00D5547E">
    <w:pPr>
      <w:pStyle w:val="Header"/>
      <w:jc w:val="right"/>
    </w:pPr>
    <w:r>
      <w:rPr>
        <w:noProof/>
      </w:rPr>
      <w:drawing>
        <wp:inline distT="0" distB="0" distL="0" distR="0" wp14:anchorId="62463ECF" wp14:editId="3BE4788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CC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1A3080"/>
    <w:multiLevelType w:val="hybridMultilevel"/>
    <w:tmpl w:val="92AE89B8"/>
    <w:lvl w:ilvl="0" w:tplc="0809000F">
      <w:start w:val="1"/>
      <w:numFmt w:val="decimal"/>
      <w:lvlText w:val="%1."/>
      <w:lvlJc w:val="left"/>
      <w:pPr>
        <w:ind w:left="1790" w:hanging="360"/>
      </w:pPr>
    </w:lvl>
    <w:lvl w:ilvl="1" w:tplc="08090019">
      <w:start w:val="1"/>
      <w:numFmt w:val="lowerLetter"/>
      <w:lvlText w:val="%2."/>
      <w:lvlJc w:val="left"/>
      <w:pPr>
        <w:ind w:left="2510" w:hanging="360"/>
      </w:pPr>
    </w:lvl>
    <w:lvl w:ilvl="2" w:tplc="0809001B">
      <w:start w:val="1"/>
      <w:numFmt w:val="lowerRoman"/>
      <w:lvlText w:val="%3."/>
      <w:lvlJc w:val="right"/>
      <w:pPr>
        <w:ind w:left="3230" w:hanging="180"/>
      </w:pPr>
    </w:lvl>
    <w:lvl w:ilvl="3" w:tplc="0809000F">
      <w:start w:val="1"/>
      <w:numFmt w:val="decimal"/>
      <w:lvlText w:val="%4."/>
      <w:lvlJc w:val="left"/>
      <w:pPr>
        <w:ind w:left="3950" w:hanging="360"/>
      </w:pPr>
    </w:lvl>
    <w:lvl w:ilvl="4" w:tplc="08090019">
      <w:start w:val="1"/>
      <w:numFmt w:val="lowerLetter"/>
      <w:lvlText w:val="%5."/>
      <w:lvlJc w:val="left"/>
      <w:pPr>
        <w:ind w:left="4670" w:hanging="360"/>
      </w:pPr>
    </w:lvl>
    <w:lvl w:ilvl="5" w:tplc="0809001B">
      <w:start w:val="1"/>
      <w:numFmt w:val="lowerRoman"/>
      <w:lvlText w:val="%6."/>
      <w:lvlJc w:val="right"/>
      <w:pPr>
        <w:ind w:left="5390" w:hanging="180"/>
      </w:pPr>
    </w:lvl>
    <w:lvl w:ilvl="6" w:tplc="0809000F">
      <w:start w:val="1"/>
      <w:numFmt w:val="decimal"/>
      <w:lvlText w:val="%7."/>
      <w:lvlJc w:val="left"/>
      <w:pPr>
        <w:ind w:left="6110" w:hanging="360"/>
      </w:pPr>
    </w:lvl>
    <w:lvl w:ilvl="7" w:tplc="08090019">
      <w:start w:val="1"/>
      <w:numFmt w:val="lowerLetter"/>
      <w:lvlText w:val="%8."/>
      <w:lvlJc w:val="left"/>
      <w:pPr>
        <w:ind w:left="6830" w:hanging="360"/>
      </w:pPr>
    </w:lvl>
    <w:lvl w:ilvl="8" w:tplc="0809001B">
      <w:start w:val="1"/>
      <w:numFmt w:val="lowerRoman"/>
      <w:lvlText w:val="%9."/>
      <w:lvlJc w:val="right"/>
      <w:pPr>
        <w:ind w:left="755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30185C"/>
    <w:multiLevelType w:val="multilevel"/>
    <w:tmpl w:val="50264F3A"/>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C02E00"/>
    <w:multiLevelType w:val="multilevel"/>
    <w:tmpl w:val="91D0488C"/>
    <w:lvl w:ilvl="0">
      <w:start w:val="3"/>
      <w:numFmt w:val="decimal"/>
      <w:lvlText w:val="%1"/>
      <w:lvlJc w:val="left"/>
      <w:pPr>
        <w:ind w:left="360" w:hanging="360"/>
      </w:pPr>
      <w:rPr>
        <w:rFonts w:hint="default"/>
      </w:rPr>
    </w:lvl>
    <w:lvl w:ilvl="1">
      <w:start w:val="4"/>
      <w:numFmt w:val="decimal"/>
      <w:lvlText w:val="%1.%2"/>
      <w:lvlJc w:val="left"/>
      <w:pPr>
        <w:ind w:left="844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6739E"/>
    <w:multiLevelType w:val="hybridMultilevel"/>
    <w:tmpl w:val="699A9D30"/>
    <w:lvl w:ilvl="0" w:tplc="08090013">
      <w:start w:val="1"/>
      <w:numFmt w:val="upperRoman"/>
      <w:lvlText w:val="%1."/>
      <w:lvlJc w:val="right"/>
      <w:pPr>
        <w:ind w:left="1790" w:hanging="360"/>
      </w:pPr>
    </w:lvl>
    <w:lvl w:ilvl="1" w:tplc="08090019">
      <w:start w:val="1"/>
      <w:numFmt w:val="lowerLetter"/>
      <w:lvlText w:val="%2."/>
      <w:lvlJc w:val="left"/>
      <w:pPr>
        <w:ind w:left="2510" w:hanging="360"/>
      </w:pPr>
    </w:lvl>
    <w:lvl w:ilvl="2" w:tplc="0809001B">
      <w:start w:val="1"/>
      <w:numFmt w:val="lowerRoman"/>
      <w:lvlText w:val="%3."/>
      <w:lvlJc w:val="right"/>
      <w:pPr>
        <w:ind w:left="3230" w:hanging="180"/>
      </w:pPr>
    </w:lvl>
    <w:lvl w:ilvl="3" w:tplc="0809000F">
      <w:start w:val="1"/>
      <w:numFmt w:val="decimal"/>
      <w:lvlText w:val="%4."/>
      <w:lvlJc w:val="left"/>
      <w:pPr>
        <w:ind w:left="3950" w:hanging="360"/>
      </w:pPr>
    </w:lvl>
    <w:lvl w:ilvl="4" w:tplc="08090019">
      <w:start w:val="1"/>
      <w:numFmt w:val="lowerLetter"/>
      <w:lvlText w:val="%5."/>
      <w:lvlJc w:val="left"/>
      <w:pPr>
        <w:ind w:left="4670" w:hanging="360"/>
      </w:pPr>
    </w:lvl>
    <w:lvl w:ilvl="5" w:tplc="0809001B">
      <w:start w:val="1"/>
      <w:numFmt w:val="lowerRoman"/>
      <w:lvlText w:val="%6."/>
      <w:lvlJc w:val="right"/>
      <w:pPr>
        <w:ind w:left="5390" w:hanging="180"/>
      </w:pPr>
    </w:lvl>
    <w:lvl w:ilvl="6" w:tplc="0809000F">
      <w:start w:val="1"/>
      <w:numFmt w:val="decimal"/>
      <w:lvlText w:val="%7."/>
      <w:lvlJc w:val="left"/>
      <w:pPr>
        <w:ind w:left="6110" w:hanging="360"/>
      </w:pPr>
    </w:lvl>
    <w:lvl w:ilvl="7" w:tplc="08090019">
      <w:start w:val="1"/>
      <w:numFmt w:val="lowerLetter"/>
      <w:lvlText w:val="%8."/>
      <w:lvlJc w:val="left"/>
      <w:pPr>
        <w:ind w:left="6830" w:hanging="360"/>
      </w:pPr>
    </w:lvl>
    <w:lvl w:ilvl="8" w:tplc="0809001B">
      <w:start w:val="1"/>
      <w:numFmt w:val="lowerRoman"/>
      <w:lvlText w:val="%9."/>
      <w:lvlJc w:val="right"/>
      <w:pPr>
        <w:ind w:left="755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BA5FD8"/>
    <w:multiLevelType w:val="multilevel"/>
    <w:tmpl w:val="43D6D2FA"/>
    <w:numStyleLink w:val="StyleBulletedSymbolsymbolLeft063cmHanging063cm"/>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2637F"/>
    <w:multiLevelType w:val="multilevel"/>
    <w:tmpl w:val="80CC9484"/>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numStyleLink w:val="StyleNumberedLeft0cmHanging075cm"/>
  </w:abstractNum>
  <w:abstractNum w:abstractNumId="41" w15:restartNumberingAfterBreak="0">
    <w:nsid w:val="7D556BDB"/>
    <w:multiLevelType w:val="hybridMultilevel"/>
    <w:tmpl w:val="78F82350"/>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7"/>
  </w:num>
  <w:num w:numId="3">
    <w:abstractNumId w:val="26"/>
  </w:num>
  <w:num w:numId="4">
    <w:abstractNumId w:val="20"/>
  </w:num>
  <w:num w:numId="5">
    <w:abstractNumId w:val="34"/>
  </w:num>
  <w:num w:numId="6">
    <w:abstractNumId w:val="39"/>
  </w:num>
  <w:num w:numId="7">
    <w:abstractNumId w:val="25"/>
  </w:num>
  <w:num w:numId="8">
    <w:abstractNumId w:val="22"/>
  </w:num>
  <w:num w:numId="9">
    <w:abstractNumId w:val="14"/>
  </w:num>
  <w:num w:numId="10">
    <w:abstractNumId w:val="17"/>
  </w:num>
  <w:num w:numId="11">
    <w:abstractNumId w:val="29"/>
  </w:num>
  <w:num w:numId="12">
    <w:abstractNumId w:val="27"/>
  </w:num>
  <w:num w:numId="13">
    <w:abstractNumId w:val="10"/>
  </w:num>
  <w:num w:numId="14">
    <w:abstractNumId w:val="4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8"/>
  </w:num>
  <w:num w:numId="16">
    <w:abstractNumId w:val="11"/>
  </w:num>
  <w:num w:numId="17">
    <w:abstractNumId w:val="33"/>
  </w:num>
  <w:num w:numId="18">
    <w:abstractNumId w:val="12"/>
  </w:num>
  <w:num w:numId="19">
    <w:abstractNumId w:val="35"/>
  </w:num>
  <w:num w:numId="20">
    <w:abstractNumId w:val="19"/>
  </w:num>
  <w:num w:numId="21">
    <w:abstractNumId w:val="23"/>
  </w:num>
  <w:num w:numId="22">
    <w:abstractNumId w:val="16"/>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32"/>
  </w:num>
  <w:num w:numId="36">
    <w:abstractNumId w:val="13"/>
  </w:num>
  <w:num w:numId="37">
    <w:abstractNumId w:val="41"/>
  </w:num>
  <w:num w:numId="38">
    <w:abstractNumId w:val="40"/>
    <w:lvlOverride w:ilvl="0">
      <w:lvl w:ilvl="0">
        <w:start w:val="1"/>
        <w:numFmt w:val="decimal"/>
        <w:pStyle w:val="ListParagraph"/>
        <w:lvlText w:val="%1."/>
        <w:lvlJc w:val="left"/>
        <w:pPr>
          <w:ind w:left="360" w:hanging="360"/>
        </w:pPr>
        <w:rPr>
          <w:rFonts w:ascii="Arial" w:hAnsi="Arial"/>
          <w:color w:val="000000"/>
          <w:sz w:val="24"/>
        </w:rPr>
      </w:lvl>
    </w:lvlOverride>
  </w:num>
  <w:num w:numId="39">
    <w:abstractNumId w:val="24"/>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1"/>
  </w:num>
  <w:num w:numId="44">
    <w:abstractNumId w:val="38"/>
  </w:num>
  <w:num w:numId="45">
    <w:abstractNumId w:val="4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49"/>
    <w:rsid w:val="000117D4"/>
    <w:rsid w:val="000314D7"/>
    <w:rsid w:val="00031678"/>
    <w:rsid w:val="00034C71"/>
    <w:rsid w:val="00035DF2"/>
    <w:rsid w:val="00040A87"/>
    <w:rsid w:val="00045F8B"/>
    <w:rsid w:val="00046D2B"/>
    <w:rsid w:val="00053F3F"/>
    <w:rsid w:val="00056263"/>
    <w:rsid w:val="00062F41"/>
    <w:rsid w:val="00064D8A"/>
    <w:rsid w:val="00064F82"/>
    <w:rsid w:val="00066510"/>
    <w:rsid w:val="00077523"/>
    <w:rsid w:val="00077F67"/>
    <w:rsid w:val="00090F92"/>
    <w:rsid w:val="00095988"/>
    <w:rsid w:val="0009686D"/>
    <w:rsid w:val="000A398C"/>
    <w:rsid w:val="000B31E4"/>
    <w:rsid w:val="000C089F"/>
    <w:rsid w:val="000C3928"/>
    <w:rsid w:val="000C5E8E"/>
    <w:rsid w:val="000D0C26"/>
    <w:rsid w:val="000D7D0B"/>
    <w:rsid w:val="000F08E0"/>
    <w:rsid w:val="000F1603"/>
    <w:rsid w:val="000F4751"/>
    <w:rsid w:val="0010524C"/>
    <w:rsid w:val="00111FB1"/>
    <w:rsid w:val="00113418"/>
    <w:rsid w:val="00122320"/>
    <w:rsid w:val="001356F1"/>
    <w:rsid w:val="00136994"/>
    <w:rsid w:val="0014128E"/>
    <w:rsid w:val="00151888"/>
    <w:rsid w:val="00155A48"/>
    <w:rsid w:val="00155C2F"/>
    <w:rsid w:val="0016563C"/>
    <w:rsid w:val="001674B7"/>
    <w:rsid w:val="00170A2D"/>
    <w:rsid w:val="001808BC"/>
    <w:rsid w:val="00182B81"/>
    <w:rsid w:val="0018619D"/>
    <w:rsid w:val="00192DC6"/>
    <w:rsid w:val="00193DF7"/>
    <w:rsid w:val="00197DD7"/>
    <w:rsid w:val="001A011E"/>
    <w:rsid w:val="001A066A"/>
    <w:rsid w:val="001A13E6"/>
    <w:rsid w:val="001A4B47"/>
    <w:rsid w:val="001A5731"/>
    <w:rsid w:val="001B092A"/>
    <w:rsid w:val="001B42C3"/>
    <w:rsid w:val="001C5D5E"/>
    <w:rsid w:val="001D580A"/>
    <w:rsid w:val="001D58B9"/>
    <w:rsid w:val="001D5F50"/>
    <w:rsid w:val="001D678D"/>
    <w:rsid w:val="001E03F8"/>
    <w:rsid w:val="001E1678"/>
    <w:rsid w:val="001E3376"/>
    <w:rsid w:val="001E7977"/>
    <w:rsid w:val="001F0D03"/>
    <w:rsid w:val="001F13DA"/>
    <w:rsid w:val="00200A06"/>
    <w:rsid w:val="00203464"/>
    <w:rsid w:val="002069B3"/>
    <w:rsid w:val="00215E5F"/>
    <w:rsid w:val="00224A19"/>
    <w:rsid w:val="0022577E"/>
    <w:rsid w:val="002329CF"/>
    <w:rsid w:val="00232F5B"/>
    <w:rsid w:val="00237D97"/>
    <w:rsid w:val="00240042"/>
    <w:rsid w:val="0024564B"/>
    <w:rsid w:val="00247C29"/>
    <w:rsid w:val="00255DFD"/>
    <w:rsid w:val="00260467"/>
    <w:rsid w:val="00263309"/>
    <w:rsid w:val="00263EA3"/>
    <w:rsid w:val="00265111"/>
    <w:rsid w:val="00265D3E"/>
    <w:rsid w:val="00267EF3"/>
    <w:rsid w:val="00276BD2"/>
    <w:rsid w:val="002830EF"/>
    <w:rsid w:val="00284F85"/>
    <w:rsid w:val="00290915"/>
    <w:rsid w:val="00292CF0"/>
    <w:rsid w:val="002939A9"/>
    <w:rsid w:val="00296FC7"/>
    <w:rsid w:val="002A04B2"/>
    <w:rsid w:val="002A22E2"/>
    <w:rsid w:val="002A34A4"/>
    <w:rsid w:val="002C64F7"/>
    <w:rsid w:val="002D29C7"/>
    <w:rsid w:val="002E135A"/>
    <w:rsid w:val="002E14DB"/>
    <w:rsid w:val="002E63E3"/>
    <w:rsid w:val="002F2B7A"/>
    <w:rsid w:val="002F41F2"/>
    <w:rsid w:val="002F4CFD"/>
    <w:rsid w:val="002F7CB7"/>
    <w:rsid w:val="00301BF3"/>
    <w:rsid w:val="0030208D"/>
    <w:rsid w:val="003128F9"/>
    <w:rsid w:val="00314F34"/>
    <w:rsid w:val="00323418"/>
    <w:rsid w:val="00327200"/>
    <w:rsid w:val="003302B7"/>
    <w:rsid w:val="00330CB4"/>
    <w:rsid w:val="003357BF"/>
    <w:rsid w:val="0034139A"/>
    <w:rsid w:val="0035123B"/>
    <w:rsid w:val="00357148"/>
    <w:rsid w:val="00364BAB"/>
    <w:rsid w:val="00364FAD"/>
    <w:rsid w:val="00366530"/>
    <w:rsid w:val="0036738F"/>
    <w:rsid w:val="0036759C"/>
    <w:rsid w:val="00367AE5"/>
    <w:rsid w:val="00367D71"/>
    <w:rsid w:val="003718A3"/>
    <w:rsid w:val="00374FFC"/>
    <w:rsid w:val="0037601B"/>
    <w:rsid w:val="0038150A"/>
    <w:rsid w:val="0038265B"/>
    <w:rsid w:val="003942D0"/>
    <w:rsid w:val="003965DA"/>
    <w:rsid w:val="00397910"/>
    <w:rsid w:val="003A25BE"/>
    <w:rsid w:val="003B2EE6"/>
    <w:rsid w:val="003B6E75"/>
    <w:rsid w:val="003B7DA1"/>
    <w:rsid w:val="003C3CC5"/>
    <w:rsid w:val="003D0379"/>
    <w:rsid w:val="003D2574"/>
    <w:rsid w:val="003D4C59"/>
    <w:rsid w:val="003E20C8"/>
    <w:rsid w:val="003E3616"/>
    <w:rsid w:val="003E36B5"/>
    <w:rsid w:val="003E7317"/>
    <w:rsid w:val="003F3797"/>
    <w:rsid w:val="003F4267"/>
    <w:rsid w:val="003F7C88"/>
    <w:rsid w:val="00404032"/>
    <w:rsid w:val="0040736F"/>
    <w:rsid w:val="00412C1F"/>
    <w:rsid w:val="00415DE6"/>
    <w:rsid w:val="00421CB2"/>
    <w:rsid w:val="004268B9"/>
    <w:rsid w:val="00433B96"/>
    <w:rsid w:val="00437375"/>
    <w:rsid w:val="00437960"/>
    <w:rsid w:val="004440F1"/>
    <w:rsid w:val="004456DD"/>
    <w:rsid w:val="00445926"/>
    <w:rsid w:val="00446CDF"/>
    <w:rsid w:val="004509FA"/>
    <w:rsid w:val="004521B7"/>
    <w:rsid w:val="00457E7B"/>
    <w:rsid w:val="00462AB5"/>
    <w:rsid w:val="00465EAF"/>
    <w:rsid w:val="004738C5"/>
    <w:rsid w:val="00474769"/>
    <w:rsid w:val="00482B10"/>
    <w:rsid w:val="004867AD"/>
    <w:rsid w:val="00486FFF"/>
    <w:rsid w:val="00487469"/>
    <w:rsid w:val="00491046"/>
    <w:rsid w:val="00491695"/>
    <w:rsid w:val="00496867"/>
    <w:rsid w:val="004A2AC7"/>
    <w:rsid w:val="004A6D2F"/>
    <w:rsid w:val="004A75E3"/>
    <w:rsid w:val="004B713D"/>
    <w:rsid w:val="004C2887"/>
    <w:rsid w:val="004D2626"/>
    <w:rsid w:val="004D6264"/>
    <w:rsid w:val="004D6E26"/>
    <w:rsid w:val="004D77D3"/>
    <w:rsid w:val="004E030F"/>
    <w:rsid w:val="004E2959"/>
    <w:rsid w:val="004E4947"/>
    <w:rsid w:val="004F20EF"/>
    <w:rsid w:val="00500755"/>
    <w:rsid w:val="0050321C"/>
    <w:rsid w:val="0051785E"/>
    <w:rsid w:val="00521B45"/>
    <w:rsid w:val="00525562"/>
    <w:rsid w:val="00526F16"/>
    <w:rsid w:val="00537A6C"/>
    <w:rsid w:val="00542693"/>
    <w:rsid w:val="005427B2"/>
    <w:rsid w:val="00544AFC"/>
    <w:rsid w:val="0054712D"/>
    <w:rsid w:val="00547EF6"/>
    <w:rsid w:val="0055565D"/>
    <w:rsid w:val="005570B5"/>
    <w:rsid w:val="0055762D"/>
    <w:rsid w:val="00567E18"/>
    <w:rsid w:val="00575F5F"/>
    <w:rsid w:val="00581805"/>
    <w:rsid w:val="00585656"/>
    <w:rsid w:val="00585F76"/>
    <w:rsid w:val="00590470"/>
    <w:rsid w:val="0059519F"/>
    <w:rsid w:val="005A00A7"/>
    <w:rsid w:val="005A06F6"/>
    <w:rsid w:val="005A34E4"/>
    <w:rsid w:val="005A59D2"/>
    <w:rsid w:val="005B0748"/>
    <w:rsid w:val="005B17F2"/>
    <w:rsid w:val="005B32A0"/>
    <w:rsid w:val="005B6947"/>
    <w:rsid w:val="005B7FB0"/>
    <w:rsid w:val="005C35A5"/>
    <w:rsid w:val="005C577C"/>
    <w:rsid w:val="005D018F"/>
    <w:rsid w:val="005D0621"/>
    <w:rsid w:val="005D1E27"/>
    <w:rsid w:val="005D2A3E"/>
    <w:rsid w:val="005D6EC8"/>
    <w:rsid w:val="005E022E"/>
    <w:rsid w:val="005E18A9"/>
    <w:rsid w:val="005E5215"/>
    <w:rsid w:val="005E53ED"/>
    <w:rsid w:val="005F7F7E"/>
    <w:rsid w:val="0060100E"/>
    <w:rsid w:val="00614693"/>
    <w:rsid w:val="00616F65"/>
    <w:rsid w:val="006225A5"/>
    <w:rsid w:val="00623C2F"/>
    <w:rsid w:val="00632771"/>
    <w:rsid w:val="00633578"/>
    <w:rsid w:val="00636770"/>
    <w:rsid w:val="00637068"/>
    <w:rsid w:val="00641F73"/>
    <w:rsid w:val="00650811"/>
    <w:rsid w:val="00661D3E"/>
    <w:rsid w:val="00666D85"/>
    <w:rsid w:val="006754FA"/>
    <w:rsid w:val="0068005F"/>
    <w:rsid w:val="00692627"/>
    <w:rsid w:val="006941F1"/>
    <w:rsid w:val="006969E7"/>
    <w:rsid w:val="00697306"/>
    <w:rsid w:val="006A3643"/>
    <w:rsid w:val="006B0944"/>
    <w:rsid w:val="006C2A29"/>
    <w:rsid w:val="006C51FE"/>
    <w:rsid w:val="006C64CF"/>
    <w:rsid w:val="006D17B1"/>
    <w:rsid w:val="006D4752"/>
    <w:rsid w:val="006D708A"/>
    <w:rsid w:val="006E14C1"/>
    <w:rsid w:val="006F0292"/>
    <w:rsid w:val="006F27FA"/>
    <w:rsid w:val="006F416B"/>
    <w:rsid w:val="006F519B"/>
    <w:rsid w:val="006F5C91"/>
    <w:rsid w:val="00704C5D"/>
    <w:rsid w:val="00707449"/>
    <w:rsid w:val="00707AF2"/>
    <w:rsid w:val="00713675"/>
    <w:rsid w:val="00715823"/>
    <w:rsid w:val="007220F2"/>
    <w:rsid w:val="00722538"/>
    <w:rsid w:val="00722C5C"/>
    <w:rsid w:val="00737B93"/>
    <w:rsid w:val="00745BF0"/>
    <w:rsid w:val="00753949"/>
    <w:rsid w:val="007615FE"/>
    <w:rsid w:val="0076655C"/>
    <w:rsid w:val="00772EDD"/>
    <w:rsid w:val="00772FC4"/>
    <w:rsid w:val="007742DC"/>
    <w:rsid w:val="00774D56"/>
    <w:rsid w:val="007762AC"/>
    <w:rsid w:val="007816C0"/>
    <w:rsid w:val="0078727A"/>
    <w:rsid w:val="00787FAA"/>
    <w:rsid w:val="0079129D"/>
    <w:rsid w:val="00791437"/>
    <w:rsid w:val="00792F28"/>
    <w:rsid w:val="0079634F"/>
    <w:rsid w:val="007A231F"/>
    <w:rsid w:val="007A28C7"/>
    <w:rsid w:val="007A3EA0"/>
    <w:rsid w:val="007A74FE"/>
    <w:rsid w:val="007B0C2C"/>
    <w:rsid w:val="007B278E"/>
    <w:rsid w:val="007B5A34"/>
    <w:rsid w:val="007C5C23"/>
    <w:rsid w:val="007C7C60"/>
    <w:rsid w:val="007D1977"/>
    <w:rsid w:val="007D2D0E"/>
    <w:rsid w:val="007E0A17"/>
    <w:rsid w:val="007E2A26"/>
    <w:rsid w:val="007E7A18"/>
    <w:rsid w:val="007F0879"/>
    <w:rsid w:val="007F2348"/>
    <w:rsid w:val="007F3914"/>
    <w:rsid w:val="00803F07"/>
    <w:rsid w:val="0080749A"/>
    <w:rsid w:val="0081047B"/>
    <w:rsid w:val="00813009"/>
    <w:rsid w:val="00821FB8"/>
    <w:rsid w:val="00822ACD"/>
    <w:rsid w:val="0082790D"/>
    <w:rsid w:val="008303FE"/>
    <w:rsid w:val="0083570B"/>
    <w:rsid w:val="00855C66"/>
    <w:rsid w:val="0085728C"/>
    <w:rsid w:val="00863B7D"/>
    <w:rsid w:val="00871EE4"/>
    <w:rsid w:val="00876E5E"/>
    <w:rsid w:val="008A70E2"/>
    <w:rsid w:val="008B293F"/>
    <w:rsid w:val="008B3A83"/>
    <w:rsid w:val="008B7371"/>
    <w:rsid w:val="008C6AC6"/>
    <w:rsid w:val="008D3DDB"/>
    <w:rsid w:val="008E02B0"/>
    <w:rsid w:val="008F12C4"/>
    <w:rsid w:val="008F573F"/>
    <w:rsid w:val="008F7524"/>
    <w:rsid w:val="009034EC"/>
    <w:rsid w:val="0090646F"/>
    <w:rsid w:val="0090707C"/>
    <w:rsid w:val="00914495"/>
    <w:rsid w:val="00917398"/>
    <w:rsid w:val="00920138"/>
    <w:rsid w:val="009202AC"/>
    <w:rsid w:val="0093067A"/>
    <w:rsid w:val="009306FA"/>
    <w:rsid w:val="009360B1"/>
    <w:rsid w:val="00941C60"/>
    <w:rsid w:val="00945ED0"/>
    <w:rsid w:val="009518CA"/>
    <w:rsid w:val="00962343"/>
    <w:rsid w:val="00966D42"/>
    <w:rsid w:val="00971689"/>
    <w:rsid w:val="00973E90"/>
    <w:rsid w:val="00975B07"/>
    <w:rsid w:val="00980B4A"/>
    <w:rsid w:val="00982CA3"/>
    <w:rsid w:val="00985AF2"/>
    <w:rsid w:val="00991CD7"/>
    <w:rsid w:val="00995EA1"/>
    <w:rsid w:val="00997D09"/>
    <w:rsid w:val="009A3688"/>
    <w:rsid w:val="009B53B5"/>
    <w:rsid w:val="009C35D9"/>
    <w:rsid w:val="009E3D0A"/>
    <w:rsid w:val="009E51FC"/>
    <w:rsid w:val="009E5D40"/>
    <w:rsid w:val="009F1D28"/>
    <w:rsid w:val="009F7618"/>
    <w:rsid w:val="00A04D23"/>
    <w:rsid w:val="00A05C14"/>
    <w:rsid w:val="00A06766"/>
    <w:rsid w:val="00A07FE2"/>
    <w:rsid w:val="00A1335E"/>
    <w:rsid w:val="00A13765"/>
    <w:rsid w:val="00A13F70"/>
    <w:rsid w:val="00A21B12"/>
    <w:rsid w:val="00A23F80"/>
    <w:rsid w:val="00A241E2"/>
    <w:rsid w:val="00A46E98"/>
    <w:rsid w:val="00A56FCA"/>
    <w:rsid w:val="00A6352B"/>
    <w:rsid w:val="00A701B5"/>
    <w:rsid w:val="00A714BB"/>
    <w:rsid w:val="00A71583"/>
    <w:rsid w:val="00A760FE"/>
    <w:rsid w:val="00A8196A"/>
    <w:rsid w:val="00A82490"/>
    <w:rsid w:val="00A92D8F"/>
    <w:rsid w:val="00AA4F28"/>
    <w:rsid w:val="00AA78B0"/>
    <w:rsid w:val="00AB2988"/>
    <w:rsid w:val="00AB6CEF"/>
    <w:rsid w:val="00AB7999"/>
    <w:rsid w:val="00AB7B72"/>
    <w:rsid w:val="00AC2062"/>
    <w:rsid w:val="00AC422E"/>
    <w:rsid w:val="00AD0BF9"/>
    <w:rsid w:val="00AD3292"/>
    <w:rsid w:val="00AE7AF0"/>
    <w:rsid w:val="00AF040F"/>
    <w:rsid w:val="00B00FE7"/>
    <w:rsid w:val="00B10180"/>
    <w:rsid w:val="00B2498A"/>
    <w:rsid w:val="00B350E0"/>
    <w:rsid w:val="00B355F0"/>
    <w:rsid w:val="00B40D69"/>
    <w:rsid w:val="00B454DC"/>
    <w:rsid w:val="00B500CA"/>
    <w:rsid w:val="00B56680"/>
    <w:rsid w:val="00B57278"/>
    <w:rsid w:val="00B747B5"/>
    <w:rsid w:val="00B776CB"/>
    <w:rsid w:val="00B85302"/>
    <w:rsid w:val="00B86314"/>
    <w:rsid w:val="00B9384B"/>
    <w:rsid w:val="00BA1C2E"/>
    <w:rsid w:val="00BA2483"/>
    <w:rsid w:val="00BA2976"/>
    <w:rsid w:val="00BA3928"/>
    <w:rsid w:val="00BB2CEC"/>
    <w:rsid w:val="00BC200B"/>
    <w:rsid w:val="00BC4756"/>
    <w:rsid w:val="00BC69A4"/>
    <w:rsid w:val="00BD1107"/>
    <w:rsid w:val="00BD2AFE"/>
    <w:rsid w:val="00BD5DED"/>
    <w:rsid w:val="00BE0680"/>
    <w:rsid w:val="00BE305F"/>
    <w:rsid w:val="00BE6723"/>
    <w:rsid w:val="00BE7BA3"/>
    <w:rsid w:val="00BF5682"/>
    <w:rsid w:val="00BF707E"/>
    <w:rsid w:val="00BF7B09"/>
    <w:rsid w:val="00C07C61"/>
    <w:rsid w:val="00C205E3"/>
    <w:rsid w:val="00C20A95"/>
    <w:rsid w:val="00C20E78"/>
    <w:rsid w:val="00C26335"/>
    <w:rsid w:val="00C2692F"/>
    <w:rsid w:val="00C3207C"/>
    <w:rsid w:val="00C400E1"/>
    <w:rsid w:val="00C41187"/>
    <w:rsid w:val="00C42528"/>
    <w:rsid w:val="00C50136"/>
    <w:rsid w:val="00C53262"/>
    <w:rsid w:val="00C63C31"/>
    <w:rsid w:val="00C6548E"/>
    <w:rsid w:val="00C757A0"/>
    <w:rsid w:val="00C760DE"/>
    <w:rsid w:val="00C80B7F"/>
    <w:rsid w:val="00C81C43"/>
    <w:rsid w:val="00C82630"/>
    <w:rsid w:val="00C85517"/>
    <w:rsid w:val="00C85B4E"/>
    <w:rsid w:val="00C907F7"/>
    <w:rsid w:val="00C930BD"/>
    <w:rsid w:val="00CA2103"/>
    <w:rsid w:val="00CB5DF9"/>
    <w:rsid w:val="00CB6B99"/>
    <w:rsid w:val="00CC7239"/>
    <w:rsid w:val="00CD1E27"/>
    <w:rsid w:val="00CE4C87"/>
    <w:rsid w:val="00CE544A"/>
    <w:rsid w:val="00CE7650"/>
    <w:rsid w:val="00CE7A02"/>
    <w:rsid w:val="00CF3644"/>
    <w:rsid w:val="00D06EA9"/>
    <w:rsid w:val="00D07F86"/>
    <w:rsid w:val="00D11E1C"/>
    <w:rsid w:val="00D160B0"/>
    <w:rsid w:val="00D17F94"/>
    <w:rsid w:val="00D223FC"/>
    <w:rsid w:val="00D2560D"/>
    <w:rsid w:val="00D26D1E"/>
    <w:rsid w:val="00D27BD7"/>
    <w:rsid w:val="00D327D0"/>
    <w:rsid w:val="00D3538A"/>
    <w:rsid w:val="00D4588D"/>
    <w:rsid w:val="00D474CF"/>
    <w:rsid w:val="00D5547E"/>
    <w:rsid w:val="00D63AB6"/>
    <w:rsid w:val="00D662E8"/>
    <w:rsid w:val="00D73F3E"/>
    <w:rsid w:val="00D805A9"/>
    <w:rsid w:val="00D81D3C"/>
    <w:rsid w:val="00D85BD5"/>
    <w:rsid w:val="00D869A1"/>
    <w:rsid w:val="00D94217"/>
    <w:rsid w:val="00DA038B"/>
    <w:rsid w:val="00DA413F"/>
    <w:rsid w:val="00DA4584"/>
    <w:rsid w:val="00DA614B"/>
    <w:rsid w:val="00DA7965"/>
    <w:rsid w:val="00DB4D63"/>
    <w:rsid w:val="00DC3060"/>
    <w:rsid w:val="00DE0FB2"/>
    <w:rsid w:val="00DE1350"/>
    <w:rsid w:val="00DE41E3"/>
    <w:rsid w:val="00DF093E"/>
    <w:rsid w:val="00DF5BD6"/>
    <w:rsid w:val="00DF6D95"/>
    <w:rsid w:val="00E01F42"/>
    <w:rsid w:val="00E0526D"/>
    <w:rsid w:val="00E206D6"/>
    <w:rsid w:val="00E20C62"/>
    <w:rsid w:val="00E22FF7"/>
    <w:rsid w:val="00E27E4F"/>
    <w:rsid w:val="00E314A9"/>
    <w:rsid w:val="00E31908"/>
    <w:rsid w:val="00E3366E"/>
    <w:rsid w:val="00E3560D"/>
    <w:rsid w:val="00E41912"/>
    <w:rsid w:val="00E47919"/>
    <w:rsid w:val="00E52086"/>
    <w:rsid w:val="00E54357"/>
    <w:rsid w:val="00E543A6"/>
    <w:rsid w:val="00E54D7F"/>
    <w:rsid w:val="00E5542E"/>
    <w:rsid w:val="00E60479"/>
    <w:rsid w:val="00E61D73"/>
    <w:rsid w:val="00E718DF"/>
    <w:rsid w:val="00E73083"/>
    <w:rsid w:val="00E73684"/>
    <w:rsid w:val="00E818D6"/>
    <w:rsid w:val="00E87F7A"/>
    <w:rsid w:val="00E9228C"/>
    <w:rsid w:val="00E9254B"/>
    <w:rsid w:val="00E96BD7"/>
    <w:rsid w:val="00EA0DB1"/>
    <w:rsid w:val="00EA0EE9"/>
    <w:rsid w:val="00EB4083"/>
    <w:rsid w:val="00EB6BA9"/>
    <w:rsid w:val="00ED52CA"/>
    <w:rsid w:val="00ED5860"/>
    <w:rsid w:val="00ED6A1B"/>
    <w:rsid w:val="00EE2567"/>
    <w:rsid w:val="00EE35C9"/>
    <w:rsid w:val="00EE7358"/>
    <w:rsid w:val="00EF42B8"/>
    <w:rsid w:val="00F021AE"/>
    <w:rsid w:val="00F05ECA"/>
    <w:rsid w:val="00F11FCE"/>
    <w:rsid w:val="00F21F8C"/>
    <w:rsid w:val="00F244B0"/>
    <w:rsid w:val="00F3566E"/>
    <w:rsid w:val="00F375FB"/>
    <w:rsid w:val="00F40581"/>
    <w:rsid w:val="00F41AC1"/>
    <w:rsid w:val="00F4367A"/>
    <w:rsid w:val="00F43E8D"/>
    <w:rsid w:val="00F445B1"/>
    <w:rsid w:val="00F45CD4"/>
    <w:rsid w:val="00F5059D"/>
    <w:rsid w:val="00F516A2"/>
    <w:rsid w:val="00F573C0"/>
    <w:rsid w:val="00F66DCA"/>
    <w:rsid w:val="00F731DB"/>
    <w:rsid w:val="00F74F53"/>
    <w:rsid w:val="00F7606D"/>
    <w:rsid w:val="00F764F9"/>
    <w:rsid w:val="00F81670"/>
    <w:rsid w:val="00F82024"/>
    <w:rsid w:val="00F83F2F"/>
    <w:rsid w:val="00F95BC9"/>
    <w:rsid w:val="00F97BDF"/>
    <w:rsid w:val="00FA260C"/>
    <w:rsid w:val="00FA34BE"/>
    <w:rsid w:val="00FA624C"/>
    <w:rsid w:val="00FB109F"/>
    <w:rsid w:val="00FC0A2B"/>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7382A5A"/>
  <w15:docId w15:val="{1181EFEF-FBAB-47FA-B5A6-2176B39E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107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697306"/>
    <w:pPr>
      <w:tabs>
        <w:tab w:val="num" w:pos="360"/>
      </w:tabs>
      <w:spacing w:after="160" w:line="252" w:lineRule="auto"/>
      <w:ind w:left="360" w:hanging="360"/>
      <w:contextualSpacing/>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33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5481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81989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484238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 w:id="18436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ixon@ox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855381915062522E-2"/>
          <c:y val="0.12085150493629054"/>
          <c:w val="0.88406179174423494"/>
          <c:h val="0.72859184071185412"/>
        </c:manualLayout>
      </c:layout>
      <c:lineChart>
        <c:grouping val="standard"/>
        <c:varyColors val="0"/>
        <c:ser>
          <c:idx val="0"/>
          <c:order val="0"/>
          <c:tx>
            <c:strRef>
              <c:f>'Cumulative Twin Track'!$A$5</c:f>
              <c:strCache>
                <c:ptCount val="1"/>
                <c:pt idx="0">
                  <c:v>Cumulative Target</c:v>
                </c:pt>
              </c:strCache>
            </c:strRef>
          </c:tx>
          <c:spPr>
            <a:ln w="28575" cap="rnd">
              <a:solidFill>
                <a:schemeClr val="accent1"/>
              </a:solidFill>
              <a:round/>
            </a:ln>
            <a:effectLst/>
          </c:spPr>
          <c:marker>
            <c:symbol val="none"/>
          </c:marker>
          <c:cat>
            <c:strRef>
              <c:f>'Cumulative Twin Track'!$B$1:$U$1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'Cumulative Twin Track'!$B$5:$U$5</c:f>
              <c:numCache>
                <c:formatCode>General</c:formatCode>
                <c:ptCount val="20"/>
                <c:pt idx="0">
                  <c:v>400</c:v>
                </c:pt>
                <c:pt idx="1">
                  <c:v>800</c:v>
                </c:pt>
                <c:pt idx="2">
                  <c:v>1200</c:v>
                </c:pt>
                <c:pt idx="3">
                  <c:v>1600</c:v>
                </c:pt>
                <c:pt idx="4">
                  <c:v>2000</c:v>
                </c:pt>
                <c:pt idx="5">
                  <c:v>2400</c:v>
                </c:pt>
                <c:pt idx="6">
                  <c:v>2800</c:v>
                </c:pt>
                <c:pt idx="7">
                  <c:v>3200</c:v>
                </c:pt>
                <c:pt idx="8">
                  <c:v>3600</c:v>
                </c:pt>
                <c:pt idx="9">
                  <c:v>4000</c:v>
                </c:pt>
                <c:pt idx="10">
                  <c:v>4400</c:v>
                </c:pt>
                <c:pt idx="11">
                  <c:v>4800</c:v>
                </c:pt>
                <c:pt idx="12">
                  <c:v>5200</c:v>
                </c:pt>
                <c:pt idx="13">
                  <c:v>5600</c:v>
                </c:pt>
                <c:pt idx="14">
                  <c:v>6000</c:v>
                </c:pt>
                <c:pt idx="15">
                  <c:v>6400</c:v>
                </c:pt>
                <c:pt idx="16">
                  <c:v>6800</c:v>
                </c:pt>
                <c:pt idx="17">
                  <c:v>7200</c:v>
                </c:pt>
                <c:pt idx="18">
                  <c:v>7600</c:v>
                </c:pt>
                <c:pt idx="19">
                  <c:v>8000</c:v>
                </c:pt>
              </c:numCache>
            </c:numRef>
          </c:val>
          <c:smooth val="0"/>
        </c:ser>
        <c:ser>
          <c:idx val="1"/>
          <c:order val="1"/>
          <c:tx>
            <c:strRef>
              <c:f>'Cumulative Twin Track'!$A$6</c:f>
              <c:strCache>
                <c:ptCount val="1"/>
                <c:pt idx="0">
                  <c:v>Cumulative Completions / Projected Completions</c:v>
                </c:pt>
              </c:strCache>
            </c:strRef>
          </c:tx>
          <c:spPr>
            <a:ln w="28575" cap="rnd">
              <a:solidFill>
                <a:schemeClr val="accent2"/>
              </a:solidFill>
              <a:round/>
            </a:ln>
            <a:effectLst/>
          </c:spPr>
          <c:marker>
            <c:symbol val="none"/>
          </c:marker>
          <c:cat>
            <c:strRef>
              <c:f>'Cumulative Twin Track'!$B$1:$U$1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'Cumulative Twin Track'!$B$6:$U$6</c:f>
              <c:numCache>
                <c:formatCode>0</c:formatCode>
                <c:ptCount val="20"/>
                <c:pt idx="0" formatCode="General">
                  <c:v>821</c:v>
                </c:pt>
                <c:pt idx="1">
                  <c:v>1350</c:v>
                </c:pt>
                <c:pt idx="2">
                  <c:v>2015</c:v>
                </c:pt>
                <c:pt idx="3">
                  <c:v>2272</c:v>
                </c:pt>
                <c:pt idx="4">
                  <c:v>2472</c:v>
                </c:pt>
                <c:pt idx="5">
                  <c:v>2700</c:v>
                </c:pt>
                <c:pt idx="6">
                  <c:v>2913</c:v>
                </c:pt>
                <c:pt idx="7">
                  <c:v>3128</c:v>
                </c:pt>
                <c:pt idx="8">
                  <c:v>3460</c:v>
                </c:pt>
                <c:pt idx="9">
                  <c:v>3900</c:v>
                </c:pt>
                <c:pt idx="10">
                  <c:v>4335</c:v>
                </c:pt>
                <c:pt idx="11">
                  <c:v>4708</c:v>
                </c:pt>
                <c:pt idx="12">
                  <c:v>5064</c:v>
                </c:pt>
                <c:pt idx="13">
                  <c:v>5848</c:v>
                </c:pt>
                <c:pt idx="14">
                  <c:v>6614</c:v>
                </c:pt>
                <c:pt idx="15">
                  <c:v>7064</c:v>
                </c:pt>
                <c:pt idx="16">
                  <c:v>7786</c:v>
                </c:pt>
                <c:pt idx="17">
                  <c:v>8483</c:v>
                </c:pt>
                <c:pt idx="18">
                  <c:v>9297</c:v>
                </c:pt>
                <c:pt idx="19">
                  <c:v>10594</c:v>
                </c:pt>
              </c:numCache>
            </c:numRef>
          </c:val>
          <c:smooth val="0"/>
        </c:ser>
        <c:dLbls>
          <c:showLegendKey val="0"/>
          <c:showVal val="0"/>
          <c:showCatName val="0"/>
          <c:showSerName val="0"/>
          <c:showPercent val="0"/>
          <c:showBubbleSize val="0"/>
        </c:dLbls>
        <c:smooth val="0"/>
        <c:axId val="131360160"/>
        <c:axId val="131360552"/>
      </c:lineChart>
      <c:catAx>
        <c:axId val="13136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360552"/>
        <c:crosses val="autoZero"/>
        <c:auto val="1"/>
        <c:lblAlgn val="ctr"/>
        <c:lblOffset val="100"/>
        <c:noMultiLvlLbl val="0"/>
      </c:catAx>
      <c:valAx>
        <c:axId val="131360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360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1E57-AF23-4CB3-BFC1-42F4C807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87C29D08</Template>
  <TotalTime>4</TotalTime>
  <Pages>9</Pages>
  <Words>2601</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MITCHELL John</cp:lastModifiedBy>
  <cp:revision>5</cp:revision>
  <cp:lastPrinted>2020-11-03T14:22:00Z</cp:lastPrinted>
  <dcterms:created xsi:type="dcterms:W3CDTF">2020-11-30T12:56:00Z</dcterms:created>
  <dcterms:modified xsi:type="dcterms:W3CDTF">2020-11-30T14:13:00Z</dcterms:modified>
</cp:coreProperties>
</file>